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C48D4" w14:textId="1FCE6815" w:rsidR="00351C8B" w:rsidRPr="00924BB8" w:rsidRDefault="00921401" w:rsidP="00C7689C">
      <w:pPr>
        <w:spacing w:line="700" w:lineRule="exact"/>
        <w:jc w:val="center"/>
        <w:rPr>
          <w:rFonts w:ascii="方正小标宋简体" w:eastAsia="方正小标宋简体" w:hAnsi="黑体"/>
          <w:color w:val="000000"/>
          <w:sz w:val="44"/>
          <w:szCs w:val="44"/>
        </w:rPr>
      </w:pPr>
      <w:r w:rsidRPr="00924BB8">
        <w:rPr>
          <w:rFonts w:ascii="方正小标宋简体" w:eastAsia="方正小标宋简体" w:hAnsi="黑体" w:hint="eastAsia"/>
          <w:color w:val="000000"/>
          <w:sz w:val="44"/>
          <w:szCs w:val="44"/>
        </w:rPr>
        <w:t>2020年</w:t>
      </w:r>
      <w:r w:rsidR="00703618" w:rsidRPr="00924BB8">
        <w:rPr>
          <w:rFonts w:ascii="方正小标宋简体" w:eastAsia="方正小标宋简体" w:hAnsi="黑体" w:hint="eastAsia"/>
          <w:color w:val="000000"/>
          <w:sz w:val="44"/>
          <w:szCs w:val="44"/>
        </w:rPr>
        <w:t>北京地区资产评估机构</w:t>
      </w:r>
    </w:p>
    <w:p w14:paraId="47F9C28C" w14:textId="5940CF88" w:rsidR="00921401" w:rsidRPr="00DC0FDB" w:rsidRDefault="00351C8B" w:rsidP="00C7689C">
      <w:pPr>
        <w:spacing w:line="700" w:lineRule="exact"/>
        <w:jc w:val="center"/>
        <w:rPr>
          <w:rFonts w:ascii="方正小标宋简体" w:eastAsia="方正小标宋简体"/>
          <w:kern w:val="44"/>
          <w:sz w:val="44"/>
          <w:szCs w:val="44"/>
        </w:rPr>
      </w:pPr>
      <w:r w:rsidRPr="00924BB8">
        <w:rPr>
          <w:rFonts w:ascii="方正小标宋简体" w:eastAsia="方正小标宋简体" w:hAnsi="黑体" w:hint="eastAsia"/>
          <w:color w:val="000000"/>
          <w:sz w:val="44"/>
          <w:szCs w:val="44"/>
        </w:rPr>
        <w:t>执业质量</w:t>
      </w:r>
      <w:r w:rsidR="00703618" w:rsidRPr="00924BB8">
        <w:rPr>
          <w:rFonts w:ascii="方正小标宋简体" w:eastAsia="方正小标宋简体" w:hAnsi="黑体" w:hint="eastAsia"/>
          <w:color w:val="000000"/>
          <w:sz w:val="44"/>
          <w:szCs w:val="44"/>
        </w:rPr>
        <w:t>检查</w:t>
      </w:r>
      <w:r w:rsidR="00153BA9">
        <w:rPr>
          <w:rFonts w:ascii="方正小标宋简体" w:eastAsia="方正小标宋简体" w:hAnsi="黑体" w:hint="eastAsia"/>
          <w:color w:val="000000"/>
          <w:sz w:val="44"/>
          <w:szCs w:val="44"/>
        </w:rPr>
        <w:t>工作</w:t>
      </w:r>
      <w:r w:rsidRPr="00924BB8">
        <w:rPr>
          <w:rFonts w:ascii="方正小标宋简体" w:eastAsia="方正小标宋简体" w:hAnsi="黑体" w:hint="eastAsia"/>
          <w:color w:val="000000"/>
          <w:sz w:val="44"/>
          <w:szCs w:val="44"/>
        </w:rPr>
        <w:t>总结</w:t>
      </w:r>
    </w:p>
    <w:p w14:paraId="67942DE7" w14:textId="77777777" w:rsidR="00921401" w:rsidRPr="002A593D" w:rsidRDefault="00921401" w:rsidP="00921401">
      <w:pPr>
        <w:widowControl/>
        <w:spacing w:line="560" w:lineRule="exact"/>
        <w:jc w:val="left"/>
        <w:outlineLvl w:val="0"/>
        <w:rPr>
          <w:rFonts w:ascii="仿宋" w:hAnsi="仿宋"/>
          <w:bCs/>
          <w:szCs w:val="32"/>
        </w:rPr>
      </w:pPr>
    </w:p>
    <w:p w14:paraId="634BA7AC" w14:textId="4C7BBE40" w:rsidR="0023594F" w:rsidRPr="00924BB8" w:rsidRDefault="0023594F"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为贯彻习近平总书记关于完善党和国家监督体系的重要指示精神，落实党中央推动高质量发展决策部署，根据</w:t>
      </w:r>
      <w:r w:rsidRPr="00924BB8">
        <w:rPr>
          <w:rFonts w:ascii="仿宋" w:hAnsi="仿宋"/>
          <w:color w:val="000000"/>
          <w:szCs w:val="32"/>
        </w:rPr>
        <w:t>《财政部关于组织地方财政部门开展2020年</w:t>
      </w:r>
      <w:r w:rsidR="00CD0358" w:rsidRPr="00924BB8">
        <w:rPr>
          <w:rFonts w:ascii="仿宋" w:hAnsi="仿宋"/>
          <w:color w:val="000000"/>
          <w:szCs w:val="32"/>
        </w:rPr>
        <w:t>度</w:t>
      </w:r>
      <w:r w:rsidRPr="00924BB8">
        <w:rPr>
          <w:rFonts w:ascii="仿宋" w:hAnsi="仿宋"/>
          <w:color w:val="000000"/>
          <w:szCs w:val="32"/>
        </w:rPr>
        <w:t>会计评估监督检查工作的通知》（财监〔2020〕12号）</w:t>
      </w:r>
      <w:r w:rsidRPr="00924BB8">
        <w:rPr>
          <w:rFonts w:ascii="仿宋" w:hAnsi="仿宋" w:hint="eastAsia"/>
          <w:color w:val="000000"/>
          <w:szCs w:val="32"/>
        </w:rPr>
        <w:t>以及《北京市财政局关于开展</w:t>
      </w:r>
      <w:r w:rsidRPr="00924BB8">
        <w:rPr>
          <w:rFonts w:ascii="仿宋" w:hAnsi="仿宋"/>
          <w:color w:val="000000"/>
          <w:szCs w:val="32"/>
        </w:rPr>
        <w:t>2020年会计师事务</w:t>
      </w:r>
      <w:r w:rsidRPr="00924BB8">
        <w:rPr>
          <w:rFonts w:ascii="仿宋" w:hAnsi="仿宋" w:hint="eastAsia"/>
          <w:color w:val="000000"/>
          <w:szCs w:val="32"/>
        </w:rPr>
        <w:t>所、资产评估机构联合检查工作的通知》（</w:t>
      </w:r>
      <w:r w:rsidRPr="00924BB8">
        <w:rPr>
          <w:rFonts w:ascii="仿宋" w:hAnsi="仿宋"/>
          <w:color w:val="000000"/>
          <w:szCs w:val="32"/>
        </w:rPr>
        <w:t>京财监督〔2020〕1883号</w:t>
      </w:r>
      <w:r w:rsidRPr="00924BB8">
        <w:rPr>
          <w:rFonts w:ascii="仿宋" w:hAnsi="仿宋" w:hint="eastAsia"/>
          <w:color w:val="000000"/>
          <w:szCs w:val="32"/>
        </w:rPr>
        <w:t>）要求，北京资产评估协会（</w:t>
      </w:r>
      <w:r w:rsidRPr="00924BB8">
        <w:rPr>
          <w:rFonts w:ascii="仿宋" w:hAnsi="仿宋"/>
          <w:color w:val="000000"/>
          <w:szCs w:val="32"/>
        </w:rPr>
        <w:t>以下</w:t>
      </w:r>
      <w:r w:rsidRPr="00924BB8">
        <w:rPr>
          <w:rFonts w:ascii="仿宋" w:hAnsi="仿宋" w:hint="eastAsia"/>
          <w:color w:val="000000"/>
          <w:szCs w:val="32"/>
        </w:rPr>
        <w:t>简称我会</w:t>
      </w:r>
      <w:r w:rsidRPr="00924BB8">
        <w:rPr>
          <w:rFonts w:ascii="仿宋" w:hAnsi="仿宋"/>
          <w:color w:val="000000"/>
          <w:szCs w:val="32"/>
        </w:rPr>
        <w:t>）</w:t>
      </w:r>
      <w:r w:rsidRPr="00924BB8">
        <w:rPr>
          <w:rFonts w:ascii="仿宋" w:hAnsi="仿宋" w:hint="eastAsia"/>
          <w:color w:val="000000"/>
          <w:szCs w:val="32"/>
        </w:rPr>
        <w:t>与北京</w:t>
      </w:r>
      <w:r w:rsidRPr="00924BB8">
        <w:rPr>
          <w:rFonts w:ascii="仿宋" w:hAnsi="仿宋"/>
          <w:color w:val="000000"/>
          <w:szCs w:val="32"/>
        </w:rPr>
        <w:t>市财政局</w:t>
      </w:r>
      <w:r w:rsidRPr="00924BB8">
        <w:rPr>
          <w:rFonts w:ascii="仿宋" w:hAnsi="仿宋" w:hint="eastAsia"/>
          <w:color w:val="000000"/>
          <w:szCs w:val="32"/>
        </w:rPr>
        <w:t>（</w:t>
      </w:r>
      <w:r w:rsidRPr="00924BB8">
        <w:rPr>
          <w:rFonts w:ascii="仿宋" w:hAnsi="仿宋"/>
          <w:color w:val="000000"/>
          <w:szCs w:val="32"/>
        </w:rPr>
        <w:t>以下</w:t>
      </w:r>
      <w:r w:rsidRPr="00924BB8">
        <w:rPr>
          <w:rFonts w:ascii="仿宋" w:hAnsi="仿宋" w:hint="eastAsia"/>
          <w:color w:val="000000"/>
          <w:szCs w:val="32"/>
        </w:rPr>
        <w:t>简称市财政局</w:t>
      </w:r>
      <w:r w:rsidRPr="00924BB8">
        <w:rPr>
          <w:rFonts w:ascii="仿宋" w:hAnsi="仿宋"/>
          <w:color w:val="000000"/>
          <w:szCs w:val="32"/>
        </w:rPr>
        <w:t>）沟通协调，</w:t>
      </w:r>
      <w:r w:rsidRPr="00924BB8">
        <w:rPr>
          <w:rFonts w:ascii="仿宋" w:hAnsi="仿宋" w:hint="eastAsia"/>
          <w:color w:val="000000"/>
          <w:szCs w:val="32"/>
        </w:rPr>
        <w:t>对辖区内相关</w:t>
      </w:r>
      <w:r w:rsidR="00B83376" w:rsidRPr="00924BB8">
        <w:rPr>
          <w:rFonts w:ascii="仿宋" w:hAnsi="仿宋" w:hint="eastAsia"/>
          <w:color w:val="000000"/>
          <w:szCs w:val="32"/>
        </w:rPr>
        <w:t>资产评估机构</w:t>
      </w:r>
      <w:r w:rsidRPr="00924BB8">
        <w:rPr>
          <w:rFonts w:ascii="仿宋" w:hAnsi="仿宋"/>
          <w:color w:val="000000"/>
          <w:szCs w:val="32"/>
        </w:rPr>
        <w:t>开展</w:t>
      </w:r>
      <w:r w:rsidRPr="00924BB8">
        <w:rPr>
          <w:rFonts w:ascii="仿宋" w:hAnsi="仿宋" w:hint="eastAsia"/>
          <w:color w:val="000000"/>
          <w:szCs w:val="32"/>
        </w:rPr>
        <w:t>执业质量</w:t>
      </w:r>
      <w:r w:rsidRPr="00924BB8">
        <w:rPr>
          <w:rFonts w:ascii="仿宋" w:hAnsi="仿宋"/>
          <w:color w:val="000000"/>
          <w:szCs w:val="32"/>
        </w:rPr>
        <w:t>联合检查</w:t>
      </w:r>
      <w:r w:rsidRPr="00924BB8">
        <w:rPr>
          <w:rFonts w:ascii="仿宋" w:hAnsi="仿宋" w:hint="eastAsia"/>
          <w:color w:val="000000"/>
          <w:szCs w:val="32"/>
        </w:rPr>
        <w:t>。</w:t>
      </w:r>
    </w:p>
    <w:p w14:paraId="67E1FA49" w14:textId="686C5390" w:rsidR="0023594F" w:rsidRPr="00924BB8" w:rsidRDefault="0023594F"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现将检查情况总结如下：</w:t>
      </w:r>
    </w:p>
    <w:p w14:paraId="63185369" w14:textId="5A289D90" w:rsidR="00703618" w:rsidRPr="00924BB8" w:rsidRDefault="00703618" w:rsidP="00C7689C">
      <w:pPr>
        <w:pStyle w:val="a8"/>
        <w:widowControl/>
        <w:numPr>
          <w:ilvl w:val="0"/>
          <w:numId w:val="1"/>
        </w:numPr>
        <w:spacing w:line="560" w:lineRule="exact"/>
        <w:ind w:firstLineChars="0"/>
        <w:rPr>
          <w:rFonts w:ascii="黑体" w:eastAsia="黑体" w:hAnsi="黑体"/>
          <w:color w:val="000000"/>
          <w:szCs w:val="32"/>
        </w:rPr>
      </w:pPr>
      <w:r w:rsidRPr="00924BB8">
        <w:rPr>
          <w:rFonts w:ascii="黑体" w:eastAsia="黑体" w:hAnsi="黑体" w:hint="eastAsia"/>
          <w:color w:val="000000"/>
          <w:szCs w:val="32"/>
        </w:rPr>
        <w:t>检查</w:t>
      </w:r>
      <w:r w:rsidR="00F93D33" w:rsidRPr="00924BB8">
        <w:rPr>
          <w:rFonts w:ascii="黑体" w:eastAsia="黑体" w:hAnsi="黑体"/>
          <w:color w:val="000000"/>
          <w:szCs w:val="32"/>
        </w:rPr>
        <w:t>总体</w:t>
      </w:r>
      <w:r w:rsidRPr="00924BB8">
        <w:rPr>
          <w:rFonts w:ascii="黑体" w:eastAsia="黑体" w:hAnsi="黑体"/>
          <w:color w:val="000000"/>
          <w:szCs w:val="32"/>
        </w:rPr>
        <w:t>情况</w:t>
      </w:r>
    </w:p>
    <w:p w14:paraId="0AE548AA" w14:textId="49F11CC6" w:rsidR="00C511B9" w:rsidRPr="00924BB8" w:rsidRDefault="00C511B9"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北京</w:t>
      </w:r>
      <w:r w:rsidRPr="00924BB8">
        <w:rPr>
          <w:rFonts w:ascii="仿宋" w:hAnsi="仿宋"/>
          <w:color w:val="000000"/>
          <w:szCs w:val="32"/>
        </w:rPr>
        <w:t>地区</w:t>
      </w:r>
      <w:r w:rsidRPr="00924BB8">
        <w:rPr>
          <w:rFonts w:ascii="仿宋" w:hAnsi="仿宋" w:hint="eastAsia"/>
          <w:color w:val="000000"/>
          <w:szCs w:val="32"/>
        </w:rPr>
        <w:t>资产评估机构</w:t>
      </w:r>
      <w:r w:rsidRPr="00924BB8">
        <w:rPr>
          <w:rFonts w:ascii="仿宋" w:hAnsi="仿宋"/>
          <w:color w:val="000000"/>
          <w:szCs w:val="32"/>
        </w:rPr>
        <w:t>执业质量检查工作</w:t>
      </w:r>
      <w:r w:rsidRPr="00924BB8">
        <w:rPr>
          <w:rFonts w:ascii="仿宋" w:hAnsi="仿宋" w:hint="eastAsia"/>
          <w:color w:val="000000"/>
          <w:szCs w:val="32"/>
        </w:rPr>
        <w:t>以促进行业提升职业道德水平和执业质量为</w:t>
      </w:r>
      <w:r w:rsidRPr="00924BB8">
        <w:rPr>
          <w:rFonts w:ascii="仿宋" w:hAnsi="仿宋"/>
          <w:color w:val="000000"/>
          <w:szCs w:val="32"/>
        </w:rPr>
        <w:t>目标</w:t>
      </w:r>
      <w:r w:rsidRPr="00924BB8">
        <w:rPr>
          <w:rFonts w:ascii="仿宋" w:hAnsi="仿宋" w:hint="eastAsia"/>
          <w:color w:val="000000"/>
          <w:szCs w:val="32"/>
        </w:rPr>
        <w:t>，努力</w:t>
      </w:r>
      <w:r w:rsidRPr="00924BB8">
        <w:rPr>
          <w:rFonts w:ascii="仿宋" w:hAnsi="仿宋"/>
          <w:color w:val="000000"/>
          <w:szCs w:val="32"/>
        </w:rPr>
        <w:t>营造风清气正的执业环境，</w:t>
      </w:r>
      <w:r w:rsidRPr="00924BB8">
        <w:rPr>
          <w:rFonts w:ascii="仿宋" w:hAnsi="仿宋" w:hint="eastAsia"/>
          <w:color w:val="000000"/>
          <w:szCs w:val="32"/>
        </w:rPr>
        <w:t>推动行业持续健康发展、更好服务国家</w:t>
      </w:r>
      <w:r w:rsidR="00BF4CAD">
        <w:rPr>
          <w:rFonts w:ascii="仿宋" w:hAnsi="仿宋" w:hint="eastAsia"/>
          <w:color w:val="000000"/>
          <w:szCs w:val="32"/>
        </w:rPr>
        <w:t>经济</w:t>
      </w:r>
      <w:r w:rsidRPr="00924BB8">
        <w:rPr>
          <w:rFonts w:ascii="仿宋" w:hAnsi="仿宋" w:hint="eastAsia"/>
          <w:color w:val="000000"/>
          <w:szCs w:val="32"/>
        </w:rPr>
        <w:t>建设。</w:t>
      </w:r>
    </w:p>
    <w:p w14:paraId="47B3DE40" w14:textId="7C846398" w:rsidR="001D2DB5" w:rsidRPr="00924BB8" w:rsidRDefault="001D2DB5" w:rsidP="00C7689C">
      <w:pPr>
        <w:pStyle w:val="a8"/>
        <w:widowControl/>
        <w:numPr>
          <w:ilvl w:val="0"/>
          <w:numId w:val="4"/>
        </w:numPr>
        <w:spacing w:line="560" w:lineRule="exact"/>
        <w:ind w:firstLineChars="0"/>
        <w:rPr>
          <w:rFonts w:ascii="楷体" w:eastAsia="楷体" w:hAnsi="楷体"/>
          <w:color w:val="000000"/>
          <w:szCs w:val="32"/>
        </w:rPr>
      </w:pPr>
      <w:r w:rsidRPr="00924BB8">
        <w:rPr>
          <w:rFonts w:ascii="楷体" w:eastAsia="楷体" w:hAnsi="楷体"/>
          <w:color w:val="000000"/>
          <w:szCs w:val="32"/>
        </w:rPr>
        <w:t>检查重点</w:t>
      </w:r>
    </w:p>
    <w:p w14:paraId="48DC1D16" w14:textId="523C660A" w:rsidR="00621957" w:rsidRPr="00924BB8" w:rsidRDefault="00621957" w:rsidP="00C7689C">
      <w:pPr>
        <w:spacing w:line="560" w:lineRule="exact"/>
        <w:ind w:firstLineChars="201" w:firstLine="646"/>
        <w:rPr>
          <w:rFonts w:ascii="仿宋" w:hAnsi="仿宋"/>
          <w:b/>
          <w:color w:val="000000"/>
          <w:szCs w:val="32"/>
        </w:rPr>
      </w:pPr>
      <w:r w:rsidRPr="00CE4A92">
        <w:rPr>
          <w:rFonts w:ascii="仿宋" w:hAnsi="仿宋" w:hint="eastAsia"/>
          <w:b/>
          <w:color w:val="000000"/>
          <w:szCs w:val="32"/>
        </w:rPr>
        <w:t>重点关注是否存在</w:t>
      </w:r>
      <w:r w:rsidR="005705A1" w:rsidRPr="00CE4A92">
        <w:rPr>
          <w:rFonts w:ascii="仿宋" w:hAnsi="仿宋"/>
          <w:b/>
          <w:color w:val="000000"/>
          <w:szCs w:val="32"/>
        </w:rPr>
        <w:t xml:space="preserve"> </w:t>
      </w:r>
      <w:r w:rsidRPr="00CE4A92">
        <w:rPr>
          <w:rFonts w:ascii="仿宋" w:hAnsi="仿宋" w:hint="eastAsia"/>
          <w:b/>
          <w:color w:val="000000"/>
          <w:szCs w:val="32"/>
        </w:rPr>
        <w:t>“</w:t>
      </w:r>
      <w:r w:rsidR="005705A1" w:rsidRPr="00CE4A92">
        <w:rPr>
          <w:rFonts w:ascii="仿宋" w:hAnsi="仿宋"/>
          <w:b/>
          <w:color w:val="000000"/>
          <w:szCs w:val="32"/>
        </w:rPr>
        <w:t>出具虚假报告</w:t>
      </w:r>
      <w:r w:rsidRPr="00CE4A92">
        <w:rPr>
          <w:rFonts w:ascii="仿宋" w:hAnsi="仿宋" w:hint="eastAsia"/>
          <w:b/>
          <w:color w:val="000000"/>
          <w:szCs w:val="32"/>
        </w:rPr>
        <w:t>”、“</w:t>
      </w:r>
      <w:r w:rsidR="005705A1" w:rsidRPr="00CE4A92">
        <w:rPr>
          <w:rFonts w:ascii="仿宋" w:hAnsi="仿宋" w:hint="eastAsia"/>
          <w:b/>
          <w:color w:val="000000"/>
          <w:szCs w:val="32"/>
        </w:rPr>
        <w:t>出具</w:t>
      </w:r>
      <w:r w:rsidR="005705A1" w:rsidRPr="00CE4A92">
        <w:rPr>
          <w:rFonts w:ascii="仿宋" w:hAnsi="仿宋"/>
          <w:b/>
          <w:color w:val="000000"/>
          <w:szCs w:val="32"/>
        </w:rPr>
        <w:t>重大遗漏报告</w:t>
      </w:r>
      <w:r w:rsidRPr="00CE4A92">
        <w:rPr>
          <w:rFonts w:ascii="仿宋" w:hAnsi="仿宋"/>
          <w:b/>
          <w:color w:val="000000"/>
          <w:szCs w:val="32"/>
        </w:rPr>
        <w:t>”</w:t>
      </w:r>
      <w:r w:rsidRPr="00CE4A92">
        <w:rPr>
          <w:rFonts w:ascii="仿宋" w:hAnsi="仿宋" w:hint="eastAsia"/>
          <w:b/>
          <w:color w:val="000000"/>
          <w:szCs w:val="32"/>
        </w:rPr>
        <w:t>等情况，对于承接业务数量与</w:t>
      </w:r>
      <w:r w:rsidRPr="00CE4A92">
        <w:rPr>
          <w:rFonts w:ascii="仿宋" w:hAnsi="仿宋"/>
          <w:b/>
          <w:color w:val="000000"/>
          <w:szCs w:val="32"/>
        </w:rPr>
        <w:t>人力资源明显不匹配</w:t>
      </w:r>
      <w:r w:rsidRPr="00CE4A92">
        <w:rPr>
          <w:rFonts w:ascii="仿宋" w:hAnsi="仿宋" w:hint="eastAsia"/>
          <w:b/>
          <w:color w:val="000000"/>
          <w:szCs w:val="32"/>
        </w:rPr>
        <w:t>的</w:t>
      </w:r>
      <w:r w:rsidR="005705A1" w:rsidRPr="00CE4A92">
        <w:rPr>
          <w:rFonts w:ascii="仿宋" w:hAnsi="仿宋" w:hint="eastAsia"/>
          <w:b/>
          <w:color w:val="000000"/>
          <w:szCs w:val="32"/>
        </w:rPr>
        <w:t>资产评估机构</w:t>
      </w:r>
      <w:r w:rsidRPr="00CE4A92">
        <w:rPr>
          <w:rFonts w:ascii="仿宋" w:hAnsi="仿宋" w:hint="eastAsia"/>
          <w:b/>
          <w:color w:val="000000"/>
          <w:szCs w:val="32"/>
        </w:rPr>
        <w:t>加大检查力度。</w:t>
      </w:r>
    </w:p>
    <w:p w14:paraId="7DEDB1FB" w14:textId="21468C3A" w:rsidR="001D2DB5" w:rsidRPr="00924BB8" w:rsidRDefault="00B012E3" w:rsidP="00C7689C">
      <w:pPr>
        <w:pStyle w:val="a8"/>
        <w:widowControl/>
        <w:numPr>
          <w:ilvl w:val="0"/>
          <w:numId w:val="4"/>
        </w:numPr>
        <w:spacing w:line="560" w:lineRule="exact"/>
        <w:ind w:firstLineChars="0"/>
        <w:rPr>
          <w:rFonts w:ascii="楷体" w:eastAsia="楷体" w:hAnsi="楷体"/>
          <w:color w:val="000000"/>
          <w:szCs w:val="32"/>
        </w:rPr>
      </w:pPr>
      <w:r w:rsidRPr="00924BB8">
        <w:rPr>
          <w:rFonts w:ascii="楷体" w:eastAsia="楷体" w:hAnsi="楷体" w:hint="eastAsia"/>
          <w:color w:val="000000"/>
          <w:szCs w:val="32"/>
        </w:rPr>
        <w:t>检查实施</w:t>
      </w:r>
    </w:p>
    <w:p w14:paraId="37DE681B" w14:textId="16B98CC6" w:rsidR="00B012E3" w:rsidRPr="00924BB8" w:rsidRDefault="00962E45" w:rsidP="00C7689C">
      <w:pPr>
        <w:spacing w:line="560" w:lineRule="exact"/>
        <w:ind w:firstLineChars="201" w:firstLine="643"/>
        <w:rPr>
          <w:rFonts w:ascii="仿宋" w:hAnsi="仿宋"/>
          <w:color w:val="000000"/>
          <w:szCs w:val="32"/>
        </w:rPr>
      </w:pPr>
      <w:r w:rsidRPr="00924BB8">
        <w:rPr>
          <w:rFonts w:ascii="仿宋" w:hAnsi="仿宋"/>
          <w:color w:val="000000"/>
          <w:szCs w:val="32"/>
        </w:rPr>
        <w:t>本次检查本着突出重点、提高效率的原则，按照国务院“双随机、一公开”要求，</w:t>
      </w:r>
      <w:r w:rsidR="00520FD1">
        <w:rPr>
          <w:rFonts w:ascii="仿宋" w:hAnsi="仿宋" w:hint="eastAsia"/>
          <w:szCs w:val="32"/>
        </w:rPr>
        <w:t>2020年</w:t>
      </w:r>
      <w:r w:rsidR="00520FD1">
        <w:rPr>
          <w:rFonts w:ascii="仿宋" w:hAnsi="仿宋"/>
          <w:szCs w:val="32"/>
        </w:rPr>
        <w:t>联合检查</w:t>
      </w:r>
      <w:r w:rsidR="00520FD1">
        <w:rPr>
          <w:rFonts w:ascii="仿宋" w:hAnsi="仿宋" w:hint="eastAsia"/>
          <w:szCs w:val="32"/>
        </w:rPr>
        <w:t>工作</w:t>
      </w:r>
      <w:r w:rsidRPr="00924BB8">
        <w:rPr>
          <w:rFonts w:ascii="仿宋" w:hAnsi="仿宋"/>
          <w:color w:val="000000"/>
          <w:szCs w:val="32"/>
        </w:rPr>
        <w:t>随机抽取50</w:t>
      </w:r>
      <w:r w:rsidRPr="00924BB8">
        <w:rPr>
          <w:rFonts w:ascii="仿宋" w:hAnsi="仿宋"/>
          <w:color w:val="000000"/>
          <w:szCs w:val="32"/>
        </w:rPr>
        <w:lastRenderedPageBreak/>
        <w:t>家资产评估机构，我会</w:t>
      </w:r>
      <w:r w:rsidR="00520FD1">
        <w:rPr>
          <w:rFonts w:ascii="仿宋_GB2312" w:eastAsia="仿宋_GB2312" w:hAnsi="宋体" w:hint="eastAsia"/>
          <w:szCs w:val="32"/>
        </w:rPr>
        <w:t>对</w:t>
      </w:r>
      <w:r w:rsidR="00520FD1">
        <w:rPr>
          <w:rFonts w:ascii="仿宋_GB2312" w:eastAsia="仿宋_GB2312" w:hAnsi="宋体"/>
          <w:szCs w:val="32"/>
        </w:rPr>
        <w:t>其中的</w:t>
      </w:r>
      <w:r w:rsidRPr="00924BB8">
        <w:rPr>
          <w:rFonts w:ascii="仿宋" w:hAnsi="仿宋"/>
          <w:color w:val="000000"/>
          <w:szCs w:val="32"/>
        </w:rPr>
        <w:t>30家</w:t>
      </w:r>
      <w:r w:rsidR="00520FD1" w:rsidRPr="00924BB8">
        <w:rPr>
          <w:rFonts w:ascii="仿宋" w:hAnsi="仿宋"/>
          <w:color w:val="000000"/>
          <w:szCs w:val="32"/>
        </w:rPr>
        <w:t>资产评估机构</w:t>
      </w:r>
      <w:r w:rsidR="00520FD1">
        <w:rPr>
          <w:rFonts w:ascii="仿宋_GB2312" w:eastAsia="仿宋_GB2312" w:hAnsi="宋体" w:hint="eastAsia"/>
          <w:szCs w:val="32"/>
        </w:rPr>
        <w:t>开展</w:t>
      </w:r>
      <w:r w:rsidR="00520FD1">
        <w:rPr>
          <w:rFonts w:ascii="仿宋_GB2312" w:eastAsia="仿宋_GB2312" w:hAnsi="宋体"/>
          <w:szCs w:val="32"/>
        </w:rPr>
        <w:t>了检查</w:t>
      </w:r>
      <w:r w:rsidRPr="00924BB8">
        <w:rPr>
          <w:rFonts w:ascii="仿宋" w:hAnsi="仿宋"/>
          <w:color w:val="000000"/>
          <w:szCs w:val="32"/>
        </w:rPr>
        <w:t>。检查范围涵盖资产评估机构2019年及2020年1-6月</w:t>
      </w:r>
      <w:r w:rsidRPr="00924BB8">
        <w:rPr>
          <w:rFonts w:ascii="仿宋" w:hAnsi="仿宋" w:hint="eastAsia"/>
          <w:color w:val="000000"/>
          <w:szCs w:val="32"/>
        </w:rPr>
        <w:t>出具</w:t>
      </w:r>
      <w:r w:rsidRPr="00924BB8">
        <w:rPr>
          <w:rFonts w:ascii="仿宋" w:hAnsi="仿宋"/>
          <w:color w:val="000000"/>
          <w:szCs w:val="32"/>
        </w:rPr>
        <w:t>的资产评估报告</w:t>
      </w:r>
      <w:r w:rsidRPr="00924BB8">
        <w:rPr>
          <w:rFonts w:ascii="仿宋" w:hAnsi="仿宋" w:hint="eastAsia"/>
          <w:color w:val="000000"/>
          <w:szCs w:val="32"/>
        </w:rPr>
        <w:t>。我会由惩戒委员会随机筛选</w:t>
      </w:r>
      <w:r w:rsidRPr="00924BB8">
        <w:rPr>
          <w:rFonts w:ascii="仿宋" w:hAnsi="仿宋"/>
          <w:color w:val="000000"/>
          <w:szCs w:val="32"/>
        </w:rPr>
        <w:t>21</w:t>
      </w:r>
      <w:r w:rsidRPr="00924BB8">
        <w:rPr>
          <w:rFonts w:ascii="仿宋" w:hAnsi="仿宋" w:hint="eastAsia"/>
          <w:color w:val="000000"/>
          <w:szCs w:val="32"/>
        </w:rPr>
        <w:t>名检查人员</w:t>
      </w:r>
      <w:r w:rsidRPr="00924BB8">
        <w:rPr>
          <w:rFonts w:ascii="仿宋" w:hAnsi="仿宋"/>
          <w:color w:val="000000"/>
          <w:szCs w:val="32"/>
        </w:rPr>
        <w:t>组成</w:t>
      </w:r>
      <w:r w:rsidRPr="00924BB8">
        <w:rPr>
          <w:rFonts w:ascii="仿宋" w:hAnsi="仿宋" w:hint="eastAsia"/>
          <w:color w:val="000000"/>
          <w:szCs w:val="32"/>
        </w:rPr>
        <w:t>检查队伍，对</w:t>
      </w:r>
      <w:r w:rsidR="00591839" w:rsidRPr="00924BB8">
        <w:rPr>
          <w:rFonts w:ascii="仿宋" w:hAnsi="仿宋" w:hint="eastAsia"/>
          <w:color w:val="000000"/>
          <w:szCs w:val="32"/>
        </w:rPr>
        <w:t>全部</w:t>
      </w:r>
      <w:r w:rsidR="00591839" w:rsidRPr="00924BB8">
        <w:rPr>
          <w:rFonts w:ascii="仿宋" w:hAnsi="仿宋"/>
          <w:color w:val="000000"/>
          <w:szCs w:val="32"/>
        </w:rPr>
        <w:t>30家资产评估机构实施现场检查</w:t>
      </w:r>
      <w:r w:rsidR="00591839" w:rsidRPr="00924BB8">
        <w:rPr>
          <w:rFonts w:ascii="仿宋" w:hAnsi="仿宋" w:hint="eastAsia"/>
          <w:color w:val="000000"/>
          <w:szCs w:val="32"/>
        </w:rPr>
        <w:t>，</w:t>
      </w:r>
      <w:r w:rsidR="00591839" w:rsidRPr="00924BB8">
        <w:rPr>
          <w:rFonts w:ascii="仿宋" w:hAnsi="仿宋"/>
          <w:color w:val="000000"/>
          <w:szCs w:val="32"/>
        </w:rPr>
        <w:t>并对</w:t>
      </w:r>
      <w:r w:rsidRPr="00924BB8">
        <w:rPr>
          <w:rFonts w:ascii="仿宋" w:hAnsi="仿宋"/>
          <w:color w:val="000000"/>
          <w:szCs w:val="32"/>
        </w:rPr>
        <w:t>检查中发现问题较为</w:t>
      </w:r>
      <w:r w:rsidRPr="00924BB8">
        <w:rPr>
          <w:rFonts w:ascii="仿宋" w:hAnsi="仿宋" w:hint="eastAsia"/>
          <w:color w:val="000000"/>
          <w:szCs w:val="32"/>
        </w:rPr>
        <w:t>突出</w:t>
      </w:r>
      <w:r w:rsidRPr="00924BB8">
        <w:rPr>
          <w:rFonts w:ascii="仿宋" w:hAnsi="仿宋"/>
          <w:color w:val="000000"/>
          <w:szCs w:val="32"/>
        </w:rPr>
        <w:t>的机构，由</w:t>
      </w:r>
      <w:r w:rsidR="00591839" w:rsidRPr="00924BB8">
        <w:rPr>
          <w:rFonts w:ascii="仿宋" w:hAnsi="仿宋"/>
          <w:color w:val="000000"/>
          <w:szCs w:val="32"/>
        </w:rPr>
        <w:t>我</w:t>
      </w:r>
      <w:r w:rsidRPr="00924BB8">
        <w:rPr>
          <w:rFonts w:ascii="仿宋" w:hAnsi="仿宋"/>
          <w:color w:val="000000"/>
          <w:szCs w:val="32"/>
        </w:rPr>
        <w:t>会和</w:t>
      </w:r>
      <w:r w:rsidR="00591839" w:rsidRPr="00924BB8">
        <w:rPr>
          <w:rFonts w:ascii="仿宋" w:hAnsi="仿宋"/>
          <w:color w:val="000000"/>
          <w:szCs w:val="32"/>
        </w:rPr>
        <w:t>市</w:t>
      </w:r>
      <w:r w:rsidRPr="00924BB8">
        <w:rPr>
          <w:rFonts w:ascii="仿宋" w:hAnsi="仿宋"/>
          <w:color w:val="000000"/>
          <w:szCs w:val="32"/>
        </w:rPr>
        <w:t>财政</w:t>
      </w:r>
      <w:r w:rsidRPr="00924BB8">
        <w:rPr>
          <w:rFonts w:ascii="仿宋" w:hAnsi="仿宋" w:hint="eastAsia"/>
          <w:color w:val="000000"/>
          <w:szCs w:val="32"/>
        </w:rPr>
        <w:t>局</w:t>
      </w:r>
      <w:r w:rsidRPr="00924BB8">
        <w:rPr>
          <w:rFonts w:ascii="仿宋" w:hAnsi="仿宋"/>
          <w:color w:val="000000"/>
          <w:szCs w:val="32"/>
        </w:rPr>
        <w:t>监督处</w:t>
      </w:r>
      <w:r w:rsidRPr="00924BB8">
        <w:rPr>
          <w:rFonts w:ascii="仿宋" w:hAnsi="仿宋" w:hint="eastAsia"/>
          <w:color w:val="000000"/>
          <w:szCs w:val="32"/>
        </w:rPr>
        <w:t>组成</w:t>
      </w:r>
      <w:r w:rsidRPr="00924BB8">
        <w:rPr>
          <w:rFonts w:ascii="仿宋" w:hAnsi="仿宋"/>
          <w:color w:val="000000"/>
          <w:szCs w:val="32"/>
        </w:rPr>
        <w:t>联合检查</w:t>
      </w:r>
      <w:r w:rsidRPr="00924BB8">
        <w:rPr>
          <w:rFonts w:ascii="仿宋" w:hAnsi="仿宋" w:hint="eastAsia"/>
          <w:color w:val="000000"/>
          <w:szCs w:val="32"/>
        </w:rPr>
        <w:t>组</w:t>
      </w:r>
      <w:r w:rsidRPr="00924BB8">
        <w:rPr>
          <w:rFonts w:ascii="仿宋" w:hAnsi="仿宋"/>
          <w:color w:val="000000"/>
          <w:szCs w:val="32"/>
        </w:rPr>
        <w:t>，对机构设立条件、执业</w:t>
      </w:r>
      <w:r w:rsidRPr="00924BB8">
        <w:rPr>
          <w:rFonts w:ascii="仿宋" w:hAnsi="仿宋" w:hint="eastAsia"/>
          <w:color w:val="000000"/>
          <w:szCs w:val="32"/>
        </w:rPr>
        <w:t>行为</w:t>
      </w:r>
      <w:r w:rsidRPr="00924BB8">
        <w:rPr>
          <w:rFonts w:ascii="仿宋" w:hAnsi="仿宋"/>
          <w:color w:val="000000"/>
          <w:szCs w:val="32"/>
        </w:rPr>
        <w:t>、内控管理</w:t>
      </w:r>
      <w:r w:rsidRPr="00924BB8">
        <w:rPr>
          <w:rFonts w:ascii="仿宋" w:hAnsi="仿宋" w:hint="eastAsia"/>
          <w:color w:val="000000"/>
          <w:szCs w:val="32"/>
        </w:rPr>
        <w:t>及</w:t>
      </w:r>
      <w:r w:rsidRPr="00924BB8">
        <w:rPr>
          <w:rFonts w:ascii="仿宋" w:hAnsi="仿宋"/>
          <w:color w:val="000000"/>
          <w:szCs w:val="32"/>
        </w:rPr>
        <w:t>财务核算开展全面检查，必要时</w:t>
      </w:r>
      <w:r w:rsidRPr="00924BB8">
        <w:rPr>
          <w:rFonts w:ascii="仿宋" w:hAnsi="仿宋" w:hint="eastAsia"/>
          <w:color w:val="000000"/>
          <w:szCs w:val="32"/>
        </w:rPr>
        <w:t>对</w:t>
      </w:r>
      <w:r w:rsidRPr="00924BB8">
        <w:rPr>
          <w:rFonts w:ascii="仿宋" w:hAnsi="仿宋"/>
          <w:color w:val="000000"/>
          <w:szCs w:val="32"/>
        </w:rPr>
        <w:t>以前年度的报告进行延伸</w:t>
      </w:r>
      <w:r w:rsidRPr="00924BB8">
        <w:rPr>
          <w:rFonts w:ascii="仿宋" w:hAnsi="仿宋" w:hint="eastAsia"/>
          <w:color w:val="000000"/>
          <w:szCs w:val="32"/>
        </w:rPr>
        <w:t>。</w:t>
      </w:r>
    </w:p>
    <w:p w14:paraId="09B9CC47" w14:textId="543586A1" w:rsidR="00B012E3" w:rsidRPr="00924BB8" w:rsidRDefault="00D52644" w:rsidP="00C7689C">
      <w:pPr>
        <w:pStyle w:val="a8"/>
        <w:widowControl/>
        <w:numPr>
          <w:ilvl w:val="0"/>
          <w:numId w:val="4"/>
        </w:numPr>
        <w:spacing w:line="560" w:lineRule="exact"/>
        <w:ind w:firstLineChars="0"/>
        <w:rPr>
          <w:rFonts w:ascii="楷体" w:eastAsia="楷体" w:hAnsi="楷体"/>
          <w:color w:val="000000"/>
          <w:szCs w:val="32"/>
        </w:rPr>
      </w:pPr>
      <w:r w:rsidRPr="00924BB8">
        <w:rPr>
          <w:rFonts w:ascii="楷体" w:eastAsia="楷体" w:hAnsi="楷体" w:hint="eastAsia"/>
          <w:color w:val="000000"/>
          <w:szCs w:val="32"/>
        </w:rPr>
        <w:t>检查结果</w:t>
      </w:r>
    </w:p>
    <w:p w14:paraId="588AB084" w14:textId="722381EB" w:rsidR="00D52644" w:rsidRPr="00924BB8" w:rsidRDefault="00F175FE" w:rsidP="00C7689C">
      <w:pPr>
        <w:spacing w:line="560" w:lineRule="exact"/>
        <w:ind w:firstLineChars="201" w:firstLine="643"/>
        <w:rPr>
          <w:rFonts w:ascii="仿宋" w:hAnsi="仿宋"/>
          <w:color w:val="000000"/>
          <w:szCs w:val="32"/>
        </w:rPr>
      </w:pPr>
      <w:r w:rsidRPr="00924BB8">
        <w:rPr>
          <w:rFonts w:ascii="仿宋" w:hAnsi="仿宋"/>
          <w:color w:val="000000"/>
          <w:szCs w:val="32"/>
        </w:rPr>
        <w:t>依据</w:t>
      </w:r>
      <w:r w:rsidRPr="00924BB8">
        <w:rPr>
          <w:rFonts w:ascii="仿宋" w:hAnsi="仿宋" w:hint="eastAsia"/>
          <w:color w:val="000000"/>
          <w:szCs w:val="32"/>
        </w:rPr>
        <w:t>《资产评估执业质量自律检查办法》等相关规定，</w:t>
      </w:r>
      <w:r w:rsidR="00D52644" w:rsidRPr="00924BB8">
        <w:rPr>
          <w:rFonts w:ascii="仿宋" w:hAnsi="仿宋" w:hint="eastAsia"/>
          <w:color w:val="000000"/>
          <w:szCs w:val="32"/>
        </w:rPr>
        <w:t>经检查核实，并报</w:t>
      </w:r>
      <w:r w:rsidR="00D52644" w:rsidRPr="00924BB8">
        <w:rPr>
          <w:rFonts w:ascii="仿宋" w:hAnsi="仿宋"/>
          <w:color w:val="000000"/>
          <w:szCs w:val="32"/>
        </w:rPr>
        <w:t>行业惩戒委员会审议，</w:t>
      </w:r>
      <w:r w:rsidR="00D52644" w:rsidRPr="00924BB8">
        <w:rPr>
          <w:rFonts w:ascii="仿宋" w:hAnsi="仿宋" w:hint="eastAsia"/>
          <w:color w:val="000000"/>
          <w:szCs w:val="32"/>
        </w:rPr>
        <w:t>对</w:t>
      </w:r>
      <w:r w:rsidR="003D0915" w:rsidRPr="00924BB8">
        <w:rPr>
          <w:rFonts w:ascii="仿宋" w:hAnsi="仿宋" w:hint="eastAsia"/>
          <w:color w:val="000000"/>
          <w:szCs w:val="32"/>
        </w:rPr>
        <w:t>在资产评估</w:t>
      </w:r>
      <w:r w:rsidR="00D52644" w:rsidRPr="00924BB8">
        <w:rPr>
          <w:rFonts w:ascii="仿宋" w:hAnsi="仿宋" w:hint="eastAsia"/>
          <w:color w:val="000000"/>
          <w:szCs w:val="32"/>
        </w:rPr>
        <w:t>程序的实施、</w:t>
      </w:r>
      <w:r w:rsidR="003D0915" w:rsidRPr="00924BB8">
        <w:rPr>
          <w:rFonts w:ascii="仿宋" w:hAnsi="仿宋" w:hint="eastAsia"/>
          <w:color w:val="000000"/>
          <w:szCs w:val="32"/>
        </w:rPr>
        <w:t>评估参数的分析和计算</w:t>
      </w:r>
      <w:r w:rsidR="00C5630C" w:rsidRPr="00924BB8">
        <w:rPr>
          <w:rFonts w:ascii="仿宋" w:hAnsi="仿宋" w:hint="eastAsia"/>
          <w:color w:val="000000"/>
          <w:szCs w:val="32"/>
        </w:rPr>
        <w:t>、</w:t>
      </w:r>
      <w:r w:rsidR="003D0915" w:rsidRPr="00924BB8">
        <w:rPr>
          <w:rFonts w:ascii="仿宋" w:hAnsi="仿宋" w:hint="eastAsia"/>
          <w:color w:val="000000"/>
          <w:szCs w:val="32"/>
        </w:rPr>
        <w:t>资产评估报告内容的规范、评估工作底稿等</w:t>
      </w:r>
      <w:r w:rsidR="00D52644" w:rsidRPr="00924BB8">
        <w:rPr>
          <w:rFonts w:ascii="仿宋" w:hAnsi="仿宋" w:hint="eastAsia"/>
          <w:color w:val="000000"/>
          <w:szCs w:val="32"/>
        </w:rPr>
        <w:t>方面存在问题的</w:t>
      </w:r>
      <w:r w:rsidR="00BE5DBE">
        <w:rPr>
          <w:rFonts w:ascii="仿宋" w:hAnsi="仿宋" w:hint="eastAsia"/>
          <w:color w:val="000000"/>
          <w:szCs w:val="32"/>
        </w:rPr>
        <w:t>2</w:t>
      </w:r>
      <w:r w:rsidR="00D52644" w:rsidRPr="00924BB8">
        <w:rPr>
          <w:rFonts w:ascii="仿宋" w:hAnsi="仿宋"/>
          <w:color w:val="000000"/>
          <w:szCs w:val="32"/>
        </w:rPr>
        <w:t>家</w:t>
      </w:r>
      <w:r w:rsidR="003F4773" w:rsidRPr="00924BB8">
        <w:rPr>
          <w:rFonts w:ascii="仿宋" w:hAnsi="仿宋" w:hint="eastAsia"/>
          <w:color w:val="000000"/>
          <w:szCs w:val="32"/>
        </w:rPr>
        <w:t>资产评估机构</w:t>
      </w:r>
      <w:r w:rsidR="00D52644" w:rsidRPr="00924BB8">
        <w:rPr>
          <w:rFonts w:ascii="仿宋" w:hAnsi="仿宋"/>
          <w:color w:val="000000"/>
          <w:szCs w:val="32"/>
        </w:rPr>
        <w:t>及</w:t>
      </w:r>
      <w:r w:rsidR="00D52644" w:rsidRPr="00924BB8">
        <w:rPr>
          <w:rFonts w:ascii="仿宋" w:hAnsi="仿宋" w:hint="eastAsia"/>
          <w:color w:val="000000"/>
          <w:szCs w:val="32"/>
        </w:rPr>
        <w:t>其</w:t>
      </w:r>
      <w:r w:rsidR="00D52644" w:rsidRPr="00924BB8">
        <w:rPr>
          <w:rFonts w:ascii="仿宋" w:hAnsi="仿宋"/>
          <w:color w:val="000000"/>
          <w:szCs w:val="32"/>
        </w:rPr>
        <w:t>所属</w:t>
      </w:r>
      <w:r w:rsidR="00D52644" w:rsidRPr="00924BB8">
        <w:rPr>
          <w:rFonts w:ascii="仿宋" w:hAnsi="仿宋" w:hint="eastAsia"/>
          <w:color w:val="000000"/>
          <w:szCs w:val="32"/>
        </w:rPr>
        <w:t>的</w:t>
      </w:r>
      <w:r w:rsidR="006044D8" w:rsidRPr="00924BB8">
        <w:rPr>
          <w:rFonts w:ascii="仿宋" w:hAnsi="仿宋"/>
          <w:color w:val="000000"/>
          <w:szCs w:val="32"/>
        </w:rPr>
        <w:t>5</w:t>
      </w:r>
      <w:r w:rsidR="00D52644" w:rsidRPr="00924BB8">
        <w:rPr>
          <w:rFonts w:ascii="仿宋" w:hAnsi="仿宋"/>
          <w:color w:val="000000"/>
          <w:szCs w:val="32"/>
        </w:rPr>
        <w:t>名</w:t>
      </w:r>
      <w:r w:rsidR="006044D8" w:rsidRPr="00924BB8">
        <w:rPr>
          <w:rFonts w:ascii="仿宋" w:hAnsi="仿宋" w:hint="eastAsia"/>
          <w:color w:val="000000"/>
          <w:szCs w:val="32"/>
        </w:rPr>
        <w:t>资产评估</w:t>
      </w:r>
      <w:r w:rsidR="00D52644" w:rsidRPr="00924BB8">
        <w:rPr>
          <w:rFonts w:ascii="仿宋" w:hAnsi="仿宋"/>
          <w:color w:val="000000"/>
          <w:szCs w:val="32"/>
        </w:rPr>
        <w:t>师</w:t>
      </w:r>
      <w:r w:rsidR="00D52644" w:rsidRPr="00924BB8">
        <w:rPr>
          <w:rFonts w:ascii="仿宋" w:hAnsi="仿宋" w:hint="eastAsia"/>
          <w:color w:val="000000"/>
          <w:szCs w:val="32"/>
        </w:rPr>
        <w:t>给予</w:t>
      </w:r>
      <w:r w:rsidR="00D52644" w:rsidRPr="00924BB8">
        <w:rPr>
          <w:rFonts w:ascii="仿宋" w:hAnsi="仿宋"/>
          <w:color w:val="000000"/>
          <w:szCs w:val="32"/>
        </w:rPr>
        <w:t>行业</w:t>
      </w:r>
      <w:r w:rsidR="00BB0D64" w:rsidRPr="00924BB8">
        <w:rPr>
          <w:rFonts w:ascii="仿宋" w:hAnsi="仿宋"/>
          <w:color w:val="000000"/>
          <w:szCs w:val="32"/>
        </w:rPr>
        <w:t>自律</w:t>
      </w:r>
      <w:r w:rsidR="00D52644" w:rsidRPr="00924BB8">
        <w:rPr>
          <w:rFonts w:ascii="仿宋" w:hAnsi="仿宋"/>
          <w:color w:val="000000"/>
          <w:szCs w:val="32"/>
        </w:rPr>
        <w:t>惩戒</w:t>
      </w:r>
      <w:r w:rsidR="00D52644" w:rsidRPr="00924BB8">
        <w:rPr>
          <w:rFonts w:ascii="仿宋" w:hAnsi="仿宋" w:hint="eastAsia"/>
          <w:color w:val="000000"/>
          <w:szCs w:val="32"/>
        </w:rPr>
        <w:t>。</w:t>
      </w:r>
    </w:p>
    <w:p w14:paraId="10D19D79" w14:textId="3A05E549" w:rsidR="00D52644" w:rsidRPr="00924BB8" w:rsidRDefault="00D52644" w:rsidP="00C7689C">
      <w:pPr>
        <w:spacing w:line="560" w:lineRule="exact"/>
        <w:ind w:firstLineChars="201" w:firstLine="643"/>
        <w:rPr>
          <w:rFonts w:ascii="仿宋" w:hAnsi="仿宋"/>
          <w:color w:val="000000"/>
          <w:szCs w:val="32"/>
        </w:rPr>
      </w:pPr>
      <w:r w:rsidRPr="004E5BAC">
        <w:rPr>
          <w:rFonts w:ascii="仿宋" w:hAnsi="仿宋" w:hint="eastAsia"/>
          <w:color w:val="000000"/>
          <w:szCs w:val="32"/>
        </w:rPr>
        <w:t>经联合</w:t>
      </w:r>
      <w:r w:rsidRPr="004E5BAC">
        <w:rPr>
          <w:rFonts w:ascii="仿宋" w:hAnsi="仿宋"/>
          <w:color w:val="000000"/>
          <w:szCs w:val="32"/>
        </w:rPr>
        <w:t>检查</w:t>
      </w:r>
      <w:r w:rsidRPr="004E5BAC">
        <w:rPr>
          <w:rFonts w:ascii="仿宋" w:hAnsi="仿宋" w:hint="eastAsia"/>
          <w:color w:val="000000"/>
          <w:szCs w:val="32"/>
        </w:rPr>
        <w:t>领导</w:t>
      </w:r>
      <w:r w:rsidRPr="004E5BAC">
        <w:rPr>
          <w:rFonts w:ascii="仿宋" w:hAnsi="仿宋"/>
          <w:color w:val="000000"/>
          <w:szCs w:val="32"/>
        </w:rPr>
        <w:t>小组协商，</w:t>
      </w:r>
      <w:r w:rsidR="00715EEE" w:rsidRPr="004E5BAC">
        <w:rPr>
          <w:rFonts w:ascii="仿宋" w:hAnsi="仿宋"/>
          <w:color w:val="000000"/>
          <w:szCs w:val="32"/>
        </w:rPr>
        <w:t>拟</w:t>
      </w:r>
      <w:r w:rsidRPr="004E5BAC">
        <w:rPr>
          <w:rFonts w:ascii="仿宋" w:hAnsi="仿宋"/>
          <w:color w:val="000000"/>
          <w:szCs w:val="32"/>
        </w:rPr>
        <w:t>对</w:t>
      </w:r>
      <w:r w:rsidR="000607C5" w:rsidRPr="004E5BAC">
        <w:rPr>
          <w:rFonts w:ascii="仿宋" w:hAnsi="仿宋"/>
          <w:color w:val="000000"/>
          <w:szCs w:val="32"/>
        </w:rPr>
        <w:t>50</w:t>
      </w:r>
      <w:r w:rsidRPr="004E5BAC">
        <w:rPr>
          <w:rFonts w:ascii="仿宋" w:hAnsi="仿宋" w:hint="eastAsia"/>
          <w:color w:val="000000"/>
          <w:szCs w:val="32"/>
        </w:rPr>
        <w:t>家被检查</w:t>
      </w:r>
      <w:r w:rsidR="004D149E" w:rsidRPr="004E5BAC">
        <w:rPr>
          <w:rFonts w:ascii="仿宋" w:hAnsi="仿宋" w:hint="eastAsia"/>
          <w:color w:val="000000"/>
          <w:szCs w:val="32"/>
        </w:rPr>
        <w:t>资产评估机构</w:t>
      </w:r>
      <w:r w:rsidRPr="004E5BAC">
        <w:rPr>
          <w:rFonts w:ascii="仿宋" w:hAnsi="仿宋" w:hint="eastAsia"/>
          <w:color w:val="000000"/>
          <w:szCs w:val="32"/>
        </w:rPr>
        <w:t>中的</w:t>
      </w:r>
      <w:r w:rsidR="00D1188A" w:rsidRPr="004E5BAC">
        <w:rPr>
          <w:rFonts w:ascii="仿宋" w:hAnsi="仿宋"/>
          <w:color w:val="000000"/>
          <w:szCs w:val="32"/>
        </w:rPr>
        <w:t>2</w:t>
      </w:r>
      <w:r w:rsidRPr="004E5BAC">
        <w:rPr>
          <w:rFonts w:ascii="仿宋" w:hAnsi="仿宋" w:hint="eastAsia"/>
          <w:color w:val="000000"/>
          <w:szCs w:val="32"/>
        </w:rPr>
        <w:t>家存在严重执业质量问题</w:t>
      </w:r>
      <w:r w:rsidR="00E450C9" w:rsidRPr="004E5BAC">
        <w:rPr>
          <w:rFonts w:ascii="仿宋" w:hAnsi="仿宋" w:hint="eastAsia"/>
          <w:color w:val="000000"/>
          <w:szCs w:val="32"/>
        </w:rPr>
        <w:t>资产评估机构</w:t>
      </w:r>
      <w:r w:rsidRPr="004E5BAC">
        <w:rPr>
          <w:rFonts w:ascii="仿宋" w:hAnsi="仿宋"/>
          <w:color w:val="000000"/>
          <w:szCs w:val="32"/>
        </w:rPr>
        <w:t>予以</w:t>
      </w:r>
      <w:r w:rsidRPr="004E5BAC">
        <w:rPr>
          <w:rFonts w:ascii="仿宋" w:hAnsi="仿宋" w:hint="eastAsia"/>
          <w:color w:val="000000"/>
          <w:szCs w:val="32"/>
        </w:rPr>
        <w:t>行政处罚</w:t>
      </w:r>
      <w:r w:rsidRPr="004E5BAC">
        <w:rPr>
          <w:rFonts w:ascii="仿宋" w:hAnsi="仿宋"/>
          <w:color w:val="000000"/>
          <w:szCs w:val="32"/>
        </w:rPr>
        <w:t>,相关</w:t>
      </w:r>
      <w:r w:rsidRPr="004E5BAC">
        <w:rPr>
          <w:rFonts w:ascii="仿宋" w:hAnsi="仿宋" w:hint="eastAsia"/>
          <w:color w:val="000000"/>
          <w:szCs w:val="32"/>
        </w:rPr>
        <w:t>行政处罚程序目前</w:t>
      </w:r>
      <w:r w:rsidRPr="004E5BAC">
        <w:rPr>
          <w:rFonts w:ascii="仿宋" w:hAnsi="仿宋"/>
          <w:color w:val="000000"/>
          <w:szCs w:val="32"/>
        </w:rPr>
        <w:t>正在进行中。</w:t>
      </w:r>
    </w:p>
    <w:p w14:paraId="12E4D484" w14:textId="3BA7E1A2" w:rsidR="00716C0D" w:rsidRPr="00924BB8" w:rsidRDefault="00716C0D" w:rsidP="00C7689C">
      <w:pPr>
        <w:pStyle w:val="a8"/>
        <w:widowControl/>
        <w:numPr>
          <w:ilvl w:val="0"/>
          <w:numId w:val="1"/>
        </w:numPr>
        <w:spacing w:line="560" w:lineRule="exact"/>
        <w:ind w:firstLineChars="0"/>
        <w:rPr>
          <w:rFonts w:ascii="黑体" w:eastAsia="黑体" w:hAnsi="黑体"/>
          <w:color w:val="000000"/>
          <w:szCs w:val="32"/>
        </w:rPr>
      </w:pPr>
      <w:r w:rsidRPr="00924BB8">
        <w:rPr>
          <w:rFonts w:ascii="黑体" w:eastAsia="黑体" w:hAnsi="黑体"/>
          <w:color w:val="000000"/>
          <w:szCs w:val="32"/>
        </w:rPr>
        <w:t>检查</w:t>
      </w:r>
      <w:r w:rsidRPr="00924BB8">
        <w:rPr>
          <w:rFonts w:ascii="黑体" w:eastAsia="黑体" w:hAnsi="黑体" w:hint="eastAsia"/>
          <w:color w:val="000000"/>
          <w:szCs w:val="32"/>
        </w:rPr>
        <w:t>具体情况</w:t>
      </w:r>
    </w:p>
    <w:p w14:paraId="33B63516" w14:textId="3F529E1F" w:rsidR="00716C0D" w:rsidRPr="00924BB8" w:rsidRDefault="00716C0D" w:rsidP="00C7689C">
      <w:pPr>
        <w:pStyle w:val="a8"/>
        <w:widowControl/>
        <w:numPr>
          <w:ilvl w:val="0"/>
          <w:numId w:val="6"/>
        </w:numPr>
        <w:spacing w:line="560" w:lineRule="exact"/>
        <w:ind w:firstLineChars="0"/>
        <w:rPr>
          <w:rFonts w:ascii="楷体" w:eastAsia="楷体" w:hAnsi="楷体"/>
        </w:rPr>
      </w:pPr>
      <w:r w:rsidRPr="00924BB8">
        <w:rPr>
          <w:rFonts w:ascii="楷体" w:eastAsia="楷体" w:hAnsi="楷体" w:hint="eastAsia"/>
        </w:rPr>
        <w:t>主要工作做法</w:t>
      </w:r>
    </w:p>
    <w:p w14:paraId="38AB8A97" w14:textId="55EE7C7B" w:rsidR="00716C0D" w:rsidRPr="00924BB8" w:rsidRDefault="00742A60" w:rsidP="00C7689C">
      <w:pPr>
        <w:spacing w:line="560" w:lineRule="exact"/>
        <w:ind w:firstLineChars="201" w:firstLine="646"/>
        <w:rPr>
          <w:rFonts w:ascii="仿宋" w:hAnsi="仿宋"/>
          <w:color w:val="000000"/>
          <w:szCs w:val="32"/>
        </w:rPr>
      </w:pPr>
      <w:r w:rsidRPr="00924BB8">
        <w:rPr>
          <w:rFonts w:ascii="仿宋" w:hAnsi="仿宋"/>
          <w:b/>
          <w:color w:val="000000"/>
          <w:szCs w:val="32"/>
        </w:rPr>
        <w:t>1．</w:t>
      </w:r>
      <w:r w:rsidR="00716C0D" w:rsidRPr="00924BB8">
        <w:rPr>
          <w:rFonts w:ascii="仿宋" w:hAnsi="仿宋" w:hint="eastAsia"/>
          <w:b/>
          <w:color w:val="000000"/>
          <w:szCs w:val="32"/>
        </w:rPr>
        <w:t>引</w:t>
      </w:r>
      <w:r w:rsidR="00716C0D" w:rsidRPr="00924BB8">
        <w:rPr>
          <w:rFonts w:ascii="仿宋" w:hAnsi="仿宋"/>
          <w:b/>
          <w:color w:val="000000"/>
          <w:szCs w:val="32"/>
        </w:rPr>
        <w:t>入</w:t>
      </w:r>
      <w:r w:rsidR="00716C0D" w:rsidRPr="00924BB8">
        <w:rPr>
          <w:rFonts w:ascii="仿宋" w:hAnsi="仿宋" w:hint="eastAsia"/>
          <w:b/>
          <w:color w:val="000000"/>
          <w:szCs w:val="32"/>
        </w:rPr>
        <w:t>财政检查</w:t>
      </w:r>
      <w:r w:rsidR="00716C0D" w:rsidRPr="00924BB8">
        <w:rPr>
          <w:rFonts w:ascii="仿宋" w:hAnsi="仿宋"/>
          <w:b/>
          <w:color w:val="000000"/>
          <w:szCs w:val="32"/>
        </w:rPr>
        <w:t>发挥监管合力</w:t>
      </w:r>
      <w:r w:rsidR="00716C0D" w:rsidRPr="00924BB8">
        <w:rPr>
          <w:rFonts w:ascii="仿宋" w:hAnsi="仿宋" w:hint="eastAsia"/>
          <w:b/>
          <w:color w:val="000000"/>
          <w:szCs w:val="32"/>
        </w:rPr>
        <w:t>。</w:t>
      </w:r>
      <w:r w:rsidR="00382B0A" w:rsidRPr="00924BB8">
        <w:rPr>
          <w:rFonts w:ascii="仿宋" w:hAnsi="仿宋" w:hint="eastAsia"/>
          <w:color w:val="000000"/>
          <w:szCs w:val="32"/>
        </w:rPr>
        <w:t>参照注册会计师行业联合监管</w:t>
      </w:r>
      <w:r w:rsidR="00716C0D" w:rsidRPr="00924BB8">
        <w:rPr>
          <w:rFonts w:ascii="仿宋" w:hAnsi="仿宋" w:hint="eastAsia"/>
          <w:color w:val="000000"/>
          <w:szCs w:val="32"/>
        </w:rPr>
        <w:t>五个“统一”原则，</w:t>
      </w:r>
      <w:r w:rsidR="00382B0A" w:rsidRPr="00924BB8">
        <w:rPr>
          <w:rFonts w:ascii="仿宋" w:hAnsi="仿宋" w:hint="eastAsia"/>
          <w:color w:val="000000"/>
          <w:szCs w:val="32"/>
        </w:rPr>
        <w:t>结合北京地区实际情况，</w:t>
      </w:r>
      <w:r w:rsidR="00716C0D" w:rsidRPr="00924BB8">
        <w:rPr>
          <w:rFonts w:ascii="仿宋" w:hAnsi="仿宋" w:hint="eastAsia"/>
          <w:color w:val="000000"/>
          <w:szCs w:val="32"/>
        </w:rPr>
        <w:t>我会会同市财政局成立</w:t>
      </w:r>
      <w:r w:rsidR="00716C0D" w:rsidRPr="00924BB8">
        <w:rPr>
          <w:rFonts w:ascii="仿宋" w:hAnsi="仿宋"/>
          <w:color w:val="000000"/>
          <w:szCs w:val="32"/>
        </w:rPr>
        <w:t>联合</w:t>
      </w:r>
      <w:r w:rsidR="00716C0D" w:rsidRPr="00924BB8">
        <w:rPr>
          <w:rFonts w:ascii="仿宋" w:hAnsi="仿宋" w:hint="eastAsia"/>
          <w:color w:val="000000"/>
          <w:szCs w:val="32"/>
        </w:rPr>
        <w:t>检查</w:t>
      </w:r>
      <w:r w:rsidR="00716C0D" w:rsidRPr="00924BB8">
        <w:rPr>
          <w:rFonts w:ascii="仿宋" w:hAnsi="仿宋"/>
          <w:color w:val="000000"/>
          <w:szCs w:val="32"/>
        </w:rPr>
        <w:t>领导小组</w:t>
      </w:r>
      <w:r w:rsidR="00716C0D" w:rsidRPr="00924BB8">
        <w:rPr>
          <w:rFonts w:ascii="仿宋" w:hAnsi="仿宋" w:hint="eastAsia"/>
          <w:color w:val="000000"/>
          <w:szCs w:val="32"/>
        </w:rPr>
        <w:t>。建立</w:t>
      </w:r>
      <w:r w:rsidR="00716C0D" w:rsidRPr="00924BB8">
        <w:rPr>
          <w:rFonts w:ascii="仿宋" w:hAnsi="仿宋"/>
          <w:color w:val="000000"/>
          <w:szCs w:val="32"/>
        </w:rPr>
        <w:t>联合会商机制，</w:t>
      </w:r>
      <w:r w:rsidR="00716C0D" w:rsidRPr="00924BB8">
        <w:rPr>
          <w:rFonts w:ascii="仿宋" w:hAnsi="仿宋" w:hint="eastAsia"/>
          <w:color w:val="000000"/>
          <w:szCs w:val="32"/>
        </w:rPr>
        <w:t>共同</w:t>
      </w:r>
      <w:r w:rsidR="00716C0D" w:rsidRPr="00924BB8">
        <w:rPr>
          <w:rFonts w:ascii="仿宋" w:hAnsi="仿宋"/>
          <w:color w:val="000000"/>
          <w:szCs w:val="32"/>
        </w:rPr>
        <w:t>研究制定工作方案，</w:t>
      </w:r>
      <w:r w:rsidR="00716C0D" w:rsidRPr="00924BB8">
        <w:rPr>
          <w:rFonts w:ascii="仿宋" w:hAnsi="仿宋" w:hint="eastAsia"/>
          <w:color w:val="000000"/>
          <w:szCs w:val="32"/>
        </w:rPr>
        <w:t>确定联合</w:t>
      </w:r>
      <w:r w:rsidR="00716C0D" w:rsidRPr="00924BB8">
        <w:rPr>
          <w:rFonts w:ascii="仿宋" w:hAnsi="仿宋"/>
          <w:color w:val="000000"/>
          <w:szCs w:val="32"/>
        </w:rPr>
        <w:t>检查工作原则，</w:t>
      </w:r>
      <w:r w:rsidR="00716C0D" w:rsidRPr="00924BB8">
        <w:rPr>
          <w:rFonts w:ascii="仿宋" w:hAnsi="仿宋" w:hint="eastAsia"/>
          <w:color w:val="000000"/>
          <w:szCs w:val="32"/>
        </w:rPr>
        <w:t>切实</w:t>
      </w:r>
      <w:r w:rsidR="00716C0D" w:rsidRPr="00924BB8">
        <w:rPr>
          <w:rFonts w:ascii="仿宋" w:hAnsi="仿宋"/>
          <w:color w:val="000000"/>
          <w:szCs w:val="32"/>
        </w:rPr>
        <w:t>做</w:t>
      </w:r>
      <w:r w:rsidR="00716C0D" w:rsidRPr="00924BB8">
        <w:rPr>
          <w:rFonts w:ascii="仿宋" w:hAnsi="仿宋" w:hint="eastAsia"/>
          <w:color w:val="000000"/>
          <w:szCs w:val="32"/>
        </w:rPr>
        <w:t>到</w:t>
      </w:r>
      <w:r w:rsidR="00716C0D" w:rsidRPr="00924BB8">
        <w:rPr>
          <w:rFonts w:ascii="仿宋" w:hAnsi="仿宋"/>
          <w:color w:val="000000"/>
          <w:szCs w:val="32"/>
        </w:rPr>
        <w:t>功能互补，优势共享</w:t>
      </w:r>
      <w:r w:rsidR="00716C0D" w:rsidRPr="00924BB8">
        <w:rPr>
          <w:rFonts w:ascii="仿宋" w:hAnsi="仿宋" w:hint="eastAsia"/>
          <w:color w:val="000000"/>
          <w:szCs w:val="32"/>
        </w:rPr>
        <w:t>。</w:t>
      </w:r>
    </w:p>
    <w:p w14:paraId="2D1BCF12" w14:textId="7AAB5800" w:rsidR="00CE02FB" w:rsidRPr="00924BB8" w:rsidRDefault="005437EE" w:rsidP="00C7689C">
      <w:pPr>
        <w:spacing w:line="560" w:lineRule="exact"/>
        <w:ind w:firstLineChars="201" w:firstLine="646"/>
        <w:rPr>
          <w:rFonts w:ascii="仿宋" w:hAnsi="仿宋"/>
          <w:b/>
          <w:color w:val="000000"/>
          <w:szCs w:val="32"/>
        </w:rPr>
      </w:pPr>
      <w:r w:rsidRPr="00924BB8">
        <w:rPr>
          <w:rFonts w:ascii="仿宋" w:hAnsi="仿宋"/>
          <w:b/>
          <w:color w:val="000000"/>
          <w:szCs w:val="32"/>
        </w:rPr>
        <w:lastRenderedPageBreak/>
        <w:t>2．坚持落实随机原则。</w:t>
      </w:r>
      <w:r w:rsidRPr="00924BB8">
        <w:rPr>
          <w:rFonts w:ascii="仿宋" w:hAnsi="仿宋" w:hint="eastAsia"/>
          <w:color w:val="000000"/>
          <w:szCs w:val="32"/>
        </w:rPr>
        <w:t>按照“双随机、一公开”要求，在确保“定向查”“回头看”基础上，在全市范围内随机抽取检查对象，最终确定</w:t>
      </w:r>
      <w:r w:rsidR="006B628D" w:rsidRPr="00924BB8">
        <w:rPr>
          <w:rFonts w:ascii="仿宋" w:hAnsi="仿宋"/>
          <w:color w:val="000000"/>
          <w:szCs w:val="32"/>
        </w:rPr>
        <w:t>50</w:t>
      </w:r>
      <w:r w:rsidRPr="00924BB8">
        <w:rPr>
          <w:rFonts w:ascii="仿宋" w:hAnsi="仿宋" w:hint="eastAsia"/>
          <w:color w:val="000000"/>
          <w:szCs w:val="32"/>
        </w:rPr>
        <w:t>家被检查</w:t>
      </w:r>
      <w:r w:rsidR="0044207F" w:rsidRPr="00B32101">
        <w:rPr>
          <w:rFonts w:ascii="仿宋" w:hAnsi="仿宋" w:hint="eastAsia"/>
          <w:color w:val="000000"/>
          <w:szCs w:val="32"/>
        </w:rPr>
        <w:t>资产评估机构</w:t>
      </w:r>
      <w:r w:rsidRPr="00924BB8">
        <w:rPr>
          <w:rFonts w:ascii="仿宋" w:hAnsi="仿宋" w:hint="eastAsia"/>
          <w:color w:val="000000"/>
          <w:szCs w:val="32"/>
        </w:rPr>
        <w:t>，其中：涉及投诉举报问题</w:t>
      </w:r>
      <w:r w:rsidRPr="00924BB8">
        <w:rPr>
          <w:rFonts w:ascii="仿宋" w:hAnsi="仿宋"/>
          <w:color w:val="000000"/>
          <w:szCs w:val="32"/>
        </w:rPr>
        <w:t>的</w:t>
      </w:r>
      <w:r w:rsidR="00657B62" w:rsidRPr="00924BB8">
        <w:rPr>
          <w:rFonts w:ascii="仿宋" w:hAnsi="仿宋"/>
          <w:color w:val="000000"/>
          <w:szCs w:val="32"/>
        </w:rPr>
        <w:t>资产评估机构4</w:t>
      </w:r>
      <w:r w:rsidRPr="00924BB8">
        <w:rPr>
          <w:rFonts w:ascii="仿宋" w:hAnsi="仿宋" w:hint="eastAsia"/>
          <w:color w:val="000000"/>
          <w:szCs w:val="32"/>
        </w:rPr>
        <w:t>家；涉及上</w:t>
      </w:r>
      <w:r w:rsidRPr="00924BB8">
        <w:rPr>
          <w:rFonts w:ascii="仿宋" w:hAnsi="仿宋"/>
          <w:color w:val="000000"/>
          <w:szCs w:val="32"/>
        </w:rPr>
        <w:t>一年度</w:t>
      </w:r>
      <w:r w:rsidR="00657B62" w:rsidRPr="00924BB8">
        <w:rPr>
          <w:rFonts w:ascii="仿宋" w:hAnsi="仿宋" w:hint="eastAsia"/>
          <w:color w:val="000000"/>
          <w:szCs w:val="32"/>
        </w:rPr>
        <w:t>出具报告较多</w:t>
      </w:r>
      <w:r w:rsidRPr="00924BB8">
        <w:rPr>
          <w:rFonts w:ascii="仿宋" w:hAnsi="仿宋" w:hint="eastAsia"/>
          <w:color w:val="000000"/>
          <w:szCs w:val="32"/>
        </w:rPr>
        <w:t>的</w:t>
      </w:r>
      <w:r w:rsidR="00657B62" w:rsidRPr="00924BB8">
        <w:rPr>
          <w:rFonts w:ascii="仿宋" w:hAnsi="仿宋"/>
          <w:color w:val="000000"/>
          <w:szCs w:val="32"/>
        </w:rPr>
        <w:t>资产评估机构</w:t>
      </w:r>
      <w:r w:rsidRPr="00924BB8">
        <w:rPr>
          <w:rFonts w:ascii="仿宋" w:hAnsi="仿宋"/>
          <w:color w:val="000000"/>
          <w:szCs w:val="32"/>
        </w:rPr>
        <w:t>2家；</w:t>
      </w:r>
      <w:r w:rsidRPr="00924BB8">
        <w:rPr>
          <w:rFonts w:ascii="仿宋" w:hAnsi="仿宋" w:hint="eastAsia"/>
          <w:color w:val="000000"/>
          <w:szCs w:val="32"/>
        </w:rPr>
        <w:t>涉及</w:t>
      </w:r>
      <w:r w:rsidR="008F4572" w:rsidRPr="00924BB8">
        <w:rPr>
          <w:rFonts w:ascii="仿宋" w:hAnsi="仿宋"/>
          <w:color w:val="000000"/>
          <w:szCs w:val="32"/>
        </w:rPr>
        <w:t>2017年以后其他资质机构进入资产评估领域</w:t>
      </w:r>
      <w:r w:rsidR="008F4572" w:rsidRPr="00924BB8">
        <w:rPr>
          <w:rFonts w:ascii="仿宋" w:hAnsi="仿宋" w:hint="eastAsia"/>
          <w:color w:val="000000"/>
          <w:szCs w:val="32"/>
        </w:rPr>
        <w:t>的</w:t>
      </w:r>
      <w:r w:rsidR="008F4572" w:rsidRPr="00924BB8">
        <w:rPr>
          <w:rFonts w:ascii="仿宋" w:hAnsi="仿宋"/>
          <w:color w:val="000000"/>
          <w:szCs w:val="32"/>
        </w:rPr>
        <w:t>资产评估机构</w:t>
      </w:r>
      <w:r w:rsidRPr="00924BB8">
        <w:rPr>
          <w:rFonts w:ascii="仿宋" w:hAnsi="仿宋"/>
          <w:color w:val="000000"/>
          <w:szCs w:val="32"/>
        </w:rPr>
        <w:t>2家；</w:t>
      </w:r>
      <w:r w:rsidRPr="00924BB8">
        <w:rPr>
          <w:rFonts w:ascii="仿宋" w:hAnsi="仿宋" w:hint="eastAsia"/>
          <w:color w:val="000000"/>
          <w:szCs w:val="32"/>
        </w:rPr>
        <w:t>随机</w:t>
      </w:r>
      <w:r w:rsidRPr="00924BB8">
        <w:rPr>
          <w:rFonts w:ascii="仿宋" w:hAnsi="仿宋"/>
          <w:color w:val="000000"/>
          <w:szCs w:val="32"/>
        </w:rPr>
        <w:t>抽取</w:t>
      </w:r>
      <w:r w:rsidR="00831691" w:rsidRPr="00B32101">
        <w:rPr>
          <w:rFonts w:ascii="仿宋" w:hAnsi="仿宋" w:hint="eastAsia"/>
          <w:color w:val="000000"/>
          <w:szCs w:val="32"/>
        </w:rPr>
        <w:t>资产评估机构</w:t>
      </w:r>
      <w:r w:rsidR="008F4572" w:rsidRPr="00924BB8">
        <w:rPr>
          <w:rFonts w:ascii="仿宋" w:hAnsi="仿宋"/>
          <w:color w:val="000000"/>
          <w:szCs w:val="32"/>
        </w:rPr>
        <w:t>42</w:t>
      </w:r>
      <w:r w:rsidRPr="00924BB8">
        <w:rPr>
          <w:rFonts w:ascii="仿宋" w:hAnsi="仿宋"/>
          <w:color w:val="000000"/>
          <w:szCs w:val="32"/>
        </w:rPr>
        <w:t>家</w:t>
      </w:r>
      <w:r w:rsidRPr="00924BB8">
        <w:rPr>
          <w:rFonts w:ascii="仿宋" w:hAnsi="仿宋" w:hint="eastAsia"/>
          <w:color w:val="000000"/>
          <w:szCs w:val="32"/>
        </w:rPr>
        <w:t>。</w:t>
      </w:r>
    </w:p>
    <w:p w14:paraId="1FAFF1CA" w14:textId="275FD44F" w:rsidR="000D526B" w:rsidRPr="00924BB8" w:rsidRDefault="000D526B" w:rsidP="00C7689C">
      <w:pPr>
        <w:spacing w:line="560" w:lineRule="exact"/>
        <w:ind w:firstLineChars="201" w:firstLine="646"/>
        <w:rPr>
          <w:rFonts w:ascii="仿宋" w:hAnsi="仿宋"/>
          <w:b/>
          <w:color w:val="000000"/>
          <w:szCs w:val="32"/>
        </w:rPr>
      </w:pPr>
      <w:r w:rsidRPr="00924BB8">
        <w:rPr>
          <w:rFonts w:ascii="仿宋" w:hAnsi="仿宋"/>
          <w:b/>
          <w:color w:val="000000"/>
          <w:szCs w:val="32"/>
        </w:rPr>
        <w:t>3</w:t>
      </w:r>
      <w:r w:rsidRPr="00924BB8">
        <w:rPr>
          <w:rFonts w:ascii="仿宋" w:hAnsi="仿宋" w:hint="eastAsia"/>
          <w:b/>
          <w:color w:val="000000"/>
          <w:szCs w:val="32"/>
        </w:rPr>
        <w:t>．坚持“寓管于服”宗旨。</w:t>
      </w:r>
      <w:r w:rsidRPr="00924BB8">
        <w:rPr>
          <w:rFonts w:ascii="仿宋" w:hAnsi="仿宋" w:hint="eastAsia"/>
          <w:color w:val="000000"/>
          <w:szCs w:val="32"/>
        </w:rPr>
        <w:t>继续坚持问题导向检查理念，狠抓整改帮扶。</w:t>
      </w:r>
      <w:r w:rsidR="00FE6583" w:rsidRPr="00924BB8">
        <w:rPr>
          <w:rFonts w:ascii="仿宋" w:hAnsi="仿宋"/>
          <w:color w:val="000000"/>
          <w:szCs w:val="32"/>
        </w:rPr>
        <w:t>检查组</w:t>
      </w:r>
      <w:r w:rsidR="00C85BA3">
        <w:rPr>
          <w:rFonts w:ascii="仿宋" w:hAnsi="仿宋" w:hint="eastAsia"/>
          <w:color w:val="000000"/>
          <w:szCs w:val="32"/>
        </w:rPr>
        <w:t>对我会负责</w:t>
      </w:r>
      <w:r w:rsidR="0051073C">
        <w:rPr>
          <w:rFonts w:ascii="仿宋" w:hAnsi="仿宋" w:hint="eastAsia"/>
          <w:color w:val="000000"/>
          <w:szCs w:val="32"/>
        </w:rPr>
        <w:t>检查</w:t>
      </w:r>
      <w:r w:rsidR="00C85BA3">
        <w:rPr>
          <w:rFonts w:ascii="仿宋" w:hAnsi="仿宋" w:hint="eastAsia"/>
          <w:color w:val="000000"/>
          <w:szCs w:val="32"/>
        </w:rPr>
        <w:t>的3</w:t>
      </w:r>
      <w:r w:rsidR="00C85BA3">
        <w:rPr>
          <w:rFonts w:ascii="仿宋" w:hAnsi="仿宋"/>
          <w:color w:val="000000"/>
          <w:szCs w:val="32"/>
        </w:rPr>
        <w:t>0家资产评估机构</w:t>
      </w:r>
      <w:r w:rsidR="00FE6583" w:rsidRPr="00924BB8">
        <w:rPr>
          <w:rFonts w:ascii="仿宋" w:hAnsi="仿宋" w:hint="eastAsia"/>
          <w:color w:val="000000"/>
          <w:szCs w:val="32"/>
        </w:rPr>
        <w:t>在指出</w:t>
      </w:r>
      <w:r w:rsidR="00BE6647" w:rsidRPr="00B32101">
        <w:rPr>
          <w:rFonts w:ascii="仿宋" w:hAnsi="仿宋" w:hint="eastAsia"/>
          <w:color w:val="000000"/>
          <w:szCs w:val="32"/>
        </w:rPr>
        <w:t>资产评估机构</w:t>
      </w:r>
      <w:r w:rsidR="00FE6583" w:rsidRPr="00924BB8">
        <w:rPr>
          <w:rFonts w:ascii="仿宋" w:hAnsi="仿宋"/>
          <w:color w:val="000000"/>
          <w:szCs w:val="32"/>
        </w:rPr>
        <w:t>存在的</w:t>
      </w:r>
      <w:r w:rsidR="00B03018" w:rsidRPr="00924BB8">
        <w:rPr>
          <w:rFonts w:ascii="仿宋" w:hAnsi="仿宋"/>
          <w:color w:val="000000"/>
          <w:szCs w:val="32"/>
        </w:rPr>
        <w:t>业务</w:t>
      </w:r>
      <w:r w:rsidR="00FE6583" w:rsidRPr="00924BB8">
        <w:rPr>
          <w:rFonts w:ascii="仿宋" w:hAnsi="仿宋" w:hint="eastAsia"/>
          <w:color w:val="000000"/>
          <w:szCs w:val="32"/>
        </w:rPr>
        <w:t>质量</w:t>
      </w:r>
      <w:r w:rsidR="00FE6583" w:rsidRPr="00924BB8">
        <w:rPr>
          <w:rFonts w:ascii="仿宋" w:hAnsi="仿宋"/>
          <w:color w:val="000000"/>
          <w:szCs w:val="32"/>
        </w:rPr>
        <w:t>问题的同</w:t>
      </w:r>
      <w:r w:rsidR="00FE6583" w:rsidRPr="00924BB8">
        <w:rPr>
          <w:rFonts w:ascii="仿宋" w:hAnsi="仿宋" w:hint="eastAsia"/>
          <w:color w:val="000000"/>
          <w:szCs w:val="32"/>
        </w:rPr>
        <w:t>时，针对</w:t>
      </w:r>
      <w:r w:rsidR="00FE6583" w:rsidRPr="00924BB8">
        <w:rPr>
          <w:rFonts w:ascii="仿宋" w:hAnsi="仿宋"/>
          <w:color w:val="000000"/>
          <w:szCs w:val="32"/>
        </w:rPr>
        <w:t>检查的每一份报告</w:t>
      </w:r>
      <w:r w:rsidR="00FE6583" w:rsidRPr="00924BB8">
        <w:rPr>
          <w:rFonts w:ascii="仿宋" w:hAnsi="仿宋" w:hint="eastAsia"/>
          <w:color w:val="000000"/>
          <w:szCs w:val="32"/>
        </w:rPr>
        <w:t>均</w:t>
      </w:r>
      <w:r w:rsidR="00FE6583" w:rsidRPr="00924BB8">
        <w:rPr>
          <w:rFonts w:ascii="仿宋" w:hAnsi="仿宋"/>
          <w:color w:val="000000"/>
          <w:szCs w:val="32"/>
        </w:rPr>
        <w:t>从风险识别、风险分析、风险评价及风险应对方面</w:t>
      </w:r>
      <w:r w:rsidR="00FE6583" w:rsidRPr="00924BB8">
        <w:rPr>
          <w:rFonts w:ascii="仿宋" w:hAnsi="仿宋" w:hint="eastAsia"/>
          <w:color w:val="000000"/>
          <w:szCs w:val="32"/>
        </w:rPr>
        <w:t>提出</w:t>
      </w:r>
      <w:r w:rsidR="00FE6583" w:rsidRPr="00924BB8">
        <w:rPr>
          <w:rFonts w:ascii="仿宋" w:hAnsi="仿宋"/>
          <w:color w:val="000000"/>
          <w:szCs w:val="32"/>
        </w:rPr>
        <w:t>意见</w:t>
      </w:r>
      <w:r w:rsidR="00FE6583" w:rsidRPr="00924BB8">
        <w:rPr>
          <w:rFonts w:ascii="仿宋" w:hAnsi="仿宋" w:hint="eastAsia"/>
          <w:color w:val="000000"/>
          <w:szCs w:val="32"/>
        </w:rPr>
        <w:t>和</w:t>
      </w:r>
      <w:r w:rsidR="00FE6583" w:rsidRPr="00924BB8">
        <w:rPr>
          <w:rFonts w:ascii="仿宋" w:hAnsi="仿宋"/>
          <w:color w:val="000000"/>
          <w:szCs w:val="32"/>
        </w:rPr>
        <w:t>建议，</w:t>
      </w:r>
      <w:r w:rsidR="00FE6583" w:rsidRPr="00924BB8">
        <w:rPr>
          <w:rFonts w:ascii="仿宋" w:hAnsi="仿宋" w:hint="eastAsia"/>
          <w:color w:val="000000"/>
          <w:szCs w:val="32"/>
        </w:rPr>
        <w:t>并</w:t>
      </w:r>
      <w:r w:rsidR="00FE6583" w:rsidRPr="00924BB8">
        <w:rPr>
          <w:rFonts w:ascii="仿宋" w:hAnsi="仿宋"/>
          <w:color w:val="000000"/>
          <w:szCs w:val="32"/>
        </w:rPr>
        <w:t>在</w:t>
      </w:r>
      <w:r w:rsidR="00FE6583" w:rsidRPr="00924BB8">
        <w:rPr>
          <w:rFonts w:ascii="仿宋" w:hAnsi="仿宋" w:hint="eastAsia"/>
          <w:color w:val="000000"/>
          <w:szCs w:val="32"/>
        </w:rPr>
        <w:t>现场</w:t>
      </w:r>
      <w:r w:rsidR="00FE6583" w:rsidRPr="00924BB8">
        <w:rPr>
          <w:rFonts w:ascii="仿宋" w:hAnsi="仿宋"/>
          <w:color w:val="000000"/>
          <w:szCs w:val="32"/>
        </w:rPr>
        <w:t>给予具体指导，帮助机构</w:t>
      </w:r>
      <w:r w:rsidR="00FE6583" w:rsidRPr="00924BB8">
        <w:rPr>
          <w:rFonts w:ascii="仿宋" w:hAnsi="仿宋" w:hint="eastAsia"/>
          <w:color w:val="000000"/>
          <w:szCs w:val="32"/>
        </w:rPr>
        <w:t>认识</w:t>
      </w:r>
      <w:r w:rsidR="00FE6583" w:rsidRPr="00924BB8">
        <w:rPr>
          <w:rFonts w:ascii="仿宋" w:hAnsi="仿宋"/>
          <w:color w:val="000000"/>
          <w:szCs w:val="32"/>
        </w:rPr>
        <w:t>风险、规避</w:t>
      </w:r>
      <w:r w:rsidR="00FE6583" w:rsidRPr="00924BB8">
        <w:rPr>
          <w:rFonts w:ascii="仿宋" w:hAnsi="仿宋" w:hint="eastAsia"/>
          <w:color w:val="000000"/>
          <w:szCs w:val="32"/>
        </w:rPr>
        <w:t>风险</w:t>
      </w:r>
      <w:r w:rsidR="00FE6583" w:rsidRPr="00924BB8">
        <w:rPr>
          <w:rFonts w:ascii="仿宋" w:hAnsi="仿宋"/>
          <w:color w:val="000000"/>
          <w:szCs w:val="32"/>
        </w:rPr>
        <w:t>。</w:t>
      </w:r>
      <w:r w:rsidRPr="00924BB8">
        <w:rPr>
          <w:rFonts w:ascii="仿宋" w:hAnsi="仿宋" w:hint="eastAsia"/>
          <w:color w:val="000000"/>
          <w:szCs w:val="32"/>
        </w:rPr>
        <w:t>检查工作结束后，落实谈话提醒、强制限期整改等帮扶措施，切实有效</w:t>
      </w:r>
      <w:r w:rsidR="00FC36DA" w:rsidRPr="00924BB8">
        <w:rPr>
          <w:rFonts w:ascii="仿宋" w:hAnsi="仿宋" w:hint="eastAsia"/>
          <w:color w:val="000000"/>
          <w:szCs w:val="32"/>
        </w:rPr>
        <w:t>规范</w:t>
      </w:r>
      <w:r w:rsidR="00BE6647">
        <w:rPr>
          <w:rFonts w:ascii="仿宋" w:hAnsi="仿宋" w:hint="eastAsia"/>
          <w:color w:val="000000"/>
          <w:szCs w:val="32"/>
        </w:rPr>
        <w:t>资产</w:t>
      </w:r>
      <w:r w:rsidR="00FC36DA" w:rsidRPr="00924BB8">
        <w:rPr>
          <w:rFonts w:ascii="仿宋" w:hAnsi="仿宋"/>
          <w:color w:val="000000"/>
          <w:szCs w:val="32"/>
        </w:rPr>
        <w:t>评估行业专业人员的执业行为，</w:t>
      </w:r>
      <w:r w:rsidR="00FC36DA" w:rsidRPr="00924BB8">
        <w:rPr>
          <w:rFonts w:ascii="仿宋" w:hAnsi="仿宋" w:hint="eastAsia"/>
          <w:color w:val="000000"/>
          <w:szCs w:val="32"/>
        </w:rPr>
        <w:t>提升</w:t>
      </w:r>
      <w:r w:rsidR="00E25A1C" w:rsidRPr="00924BB8">
        <w:rPr>
          <w:rFonts w:ascii="仿宋" w:hAnsi="仿宋" w:hint="eastAsia"/>
          <w:color w:val="000000"/>
          <w:szCs w:val="32"/>
        </w:rPr>
        <w:t>资产</w:t>
      </w:r>
      <w:r w:rsidR="00FC36DA" w:rsidRPr="00924BB8">
        <w:rPr>
          <w:rFonts w:ascii="仿宋" w:hAnsi="仿宋"/>
          <w:color w:val="000000"/>
          <w:szCs w:val="32"/>
        </w:rPr>
        <w:t>评估机构的</w:t>
      </w:r>
      <w:r w:rsidR="00FC36DA" w:rsidRPr="00924BB8">
        <w:rPr>
          <w:rFonts w:ascii="仿宋" w:hAnsi="仿宋" w:hint="eastAsia"/>
          <w:color w:val="000000"/>
          <w:szCs w:val="32"/>
        </w:rPr>
        <w:t>执业</w:t>
      </w:r>
      <w:r w:rsidR="00FC36DA" w:rsidRPr="00924BB8">
        <w:rPr>
          <w:rFonts w:ascii="仿宋" w:hAnsi="仿宋"/>
          <w:color w:val="000000"/>
          <w:szCs w:val="32"/>
        </w:rPr>
        <w:t>质量和</w:t>
      </w:r>
      <w:r w:rsidR="00FC36DA" w:rsidRPr="00924BB8">
        <w:rPr>
          <w:rFonts w:ascii="仿宋" w:hAnsi="仿宋" w:hint="eastAsia"/>
          <w:color w:val="000000"/>
          <w:szCs w:val="32"/>
        </w:rPr>
        <w:t>服务</w:t>
      </w:r>
      <w:r w:rsidR="00FC36DA" w:rsidRPr="00924BB8">
        <w:rPr>
          <w:rFonts w:ascii="仿宋" w:hAnsi="仿宋"/>
          <w:color w:val="000000"/>
          <w:szCs w:val="32"/>
        </w:rPr>
        <w:t>水平</w:t>
      </w:r>
      <w:r w:rsidRPr="00924BB8">
        <w:rPr>
          <w:rFonts w:ascii="仿宋" w:hAnsi="仿宋" w:hint="eastAsia"/>
          <w:color w:val="000000"/>
          <w:szCs w:val="32"/>
        </w:rPr>
        <w:t>。</w:t>
      </w:r>
    </w:p>
    <w:p w14:paraId="7B489AA4" w14:textId="2A5F5C2C" w:rsidR="00716C0D" w:rsidRPr="00924BB8" w:rsidRDefault="006D0F5A" w:rsidP="00C7689C">
      <w:pPr>
        <w:spacing w:line="560" w:lineRule="exact"/>
        <w:ind w:firstLineChars="201" w:firstLine="646"/>
        <w:rPr>
          <w:rFonts w:ascii="仿宋" w:hAnsi="仿宋"/>
          <w:b/>
          <w:color w:val="000000"/>
          <w:szCs w:val="32"/>
        </w:rPr>
      </w:pPr>
      <w:r w:rsidRPr="00924BB8">
        <w:rPr>
          <w:rFonts w:ascii="仿宋" w:hAnsi="仿宋"/>
          <w:b/>
          <w:color w:val="000000"/>
          <w:szCs w:val="32"/>
        </w:rPr>
        <w:t>4</w:t>
      </w:r>
      <w:r w:rsidRPr="00924BB8">
        <w:rPr>
          <w:rFonts w:ascii="仿宋" w:hAnsi="仿宋" w:hint="eastAsia"/>
          <w:b/>
          <w:color w:val="000000"/>
          <w:szCs w:val="32"/>
        </w:rPr>
        <w:t>．确保检查处理的合规性、专业性。</w:t>
      </w:r>
      <w:r w:rsidRPr="00924BB8">
        <w:rPr>
          <w:rFonts w:ascii="仿宋" w:hAnsi="仿宋" w:hint="eastAsia"/>
          <w:color w:val="000000"/>
          <w:szCs w:val="32"/>
        </w:rPr>
        <w:t>为确保检查结论专业权威，邀请行业专家</w:t>
      </w:r>
      <w:r w:rsidR="00AD06E7">
        <w:rPr>
          <w:rFonts w:ascii="仿宋" w:hAnsi="仿宋" w:hint="eastAsia"/>
          <w:color w:val="000000"/>
          <w:szCs w:val="32"/>
        </w:rPr>
        <w:t>对我会负责</w:t>
      </w:r>
      <w:r w:rsidR="0051073C">
        <w:rPr>
          <w:rFonts w:ascii="仿宋" w:hAnsi="仿宋" w:hint="eastAsia"/>
          <w:color w:val="000000"/>
          <w:szCs w:val="32"/>
        </w:rPr>
        <w:t>检查</w:t>
      </w:r>
      <w:r w:rsidR="00AD06E7">
        <w:rPr>
          <w:rFonts w:ascii="仿宋" w:hAnsi="仿宋" w:hint="eastAsia"/>
          <w:color w:val="000000"/>
          <w:szCs w:val="32"/>
        </w:rPr>
        <w:t>的3</w:t>
      </w:r>
      <w:r w:rsidR="00AD06E7">
        <w:rPr>
          <w:rFonts w:ascii="仿宋" w:hAnsi="仿宋"/>
          <w:color w:val="000000"/>
          <w:szCs w:val="32"/>
        </w:rPr>
        <w:t>0家资产评估机构</w:t>
      </w:r>
      <w:r w:rsidRPr="00924BB8">
        <w:rPr>
          <w:rFonts w:ascii="仿宋" w:hAnsi="仿宋" w:hint="eastAsia"/>
          <w:color w:val="000000"/>
          <w:szCs w:val="32"/>
        </w:rPr>
        <w:t>全面论证检查底稿。根据惩戒委员会工作规则及会员执业违规行为惩戒办法，</w:t>
      </w:r>
      <w:r w:rsidR="00E25A1C" w:rsidRPr="00924BB8">
        <w:rPr>
          <w:rFonts w:ascii="仿宋" w:hAnsi="仿宋" w:hint="eastAsia"/>
          <w:color w:val="000000"/>
          <w:szCs w:val="32"/>
        </w:rPr>
        <w:t>对于情况复杂、问题严重的资产</w:t>
      </w:r>
      <w:r w:rsidR="00E25A1C" w:rsidRPr="00924BB8">
        <w:rPr>
          <w:rFonts w:ascii="仿宋" w:hAnsi="仿宋"/>
          <w:color w:val="000000"/>
          <w:szCs w:val="32"/>
        </w:rPr>
        <w:t>评估机构</w:t>
      </w:r>
      <w:r w:rsidR="000E2134" w:rsidRPr="00924BB8">
        <w:rPr>
          <w:rFonts w:ascii="仿宋" w:hAnsi="仿宋" w:hint="eastAsia"/>
          <w:color w:val="000000"/>
          <w:szCs w:val="32"/>
        </w:rPr>
        <w:t>，召开</w:t>
      </w:r>
      <w:r w:rsidRPr="00924BB8">
        <w:rPr>
          <w:rFonts w:ascii="仿宋" w:hAnsi="仿宋" w:hint="eastAsia"/>
          <w:color w:val="000000"/>
          <w:szCs w:val="32"/>
        </w:rPr>
        <w:t>惩戒委员会进行审议，就审议事项听取情况介绍，在完成投票表决、告知、申诉等完整程序后，做出惩戒决议</w:t>
      </w:r>
      <w:r w:rsidRPr="00924BB8">
        <w:rPr>
          <w:rFonts w:ascii="仿宋" w:hAnsi="仿宋"/>
          <w:color w:val="000000"/>
          <w:szCs w:val="32"/>
        </w:rPr>
        <w:t>。</w:t>
      </w:r>
    </w:p>
    <w:p w14:paraId="3AA45355" w14:textId="3BA8ECEF" w:rsidR="005F3123" w:rsidRPr="00924BB8" w:rsidRDefault="00BE19FE" w:rsidP="00C7689C">
      <w:pPr>
        <w:pStyle w:val="a8"/>
        <w:widowControl/>
        <w:numPr>
          <w:ilvl w:val="0"/>
          <w:numId w:val="6"/>
        </w:numPr>
        <w:spacing w:line="560" w:lineRule="exact"/>
        <w:ind w:firstLineChars="0"/>
        <w:rPr>
          <w:rFonts w:ascii="楷体" w:eastAsia="楷体" w:hAnsi="楷体"/>
        </w:rPr>
      </w:pPr>
      <w:r w:rsidRPr="00924BB8">
        <w:rPr>
          <w:rFonts w:ascii="楷体" w:eastAsia="楷体" w:hAnsi="楷体" w:hint="eastAsia"/>
        </w:rPr>
        <w:t>检查流程</w:t>
      </w:r>
    </w:p>
    <w:p w14:paraId="00FAB72B" w14:textId="675A436C" w:rsidR="00253BB3" w:rsidRPr="00924BB8" w:rsidRDefault="0012633F" w:rsidP="00C7689C">
      <w:pPr>
        <w:spacing w:line="560" w:lineRule="exact"/>
        <w:ind w:firstLineChars="201" w:firstLine="643"/>
        <w:rPr>
          <w:rFonts w:ascii="仿宋" w:hAnsi="仿宋"/>
          <w:color w:val="000000"/>
          <w:szCs w:val="32"/>
        </w:rPr>
      </w:pPr>
      <w:r w:rsidRPr="00924BB8">
        <w:rPr>
          <w:rFonts w:ascii="仿宋" w:hAnsi="仿宋"/>
          <w:color w:val="000000"/>
          <w:szCs w:val="32"/>
        </w:rPr>
        <w:t>2020</w:t>
      </w:r>
      <w:r w:rsidRPr="00924BB8">
        <w:rPr>
          <w:rFonts w:ascii="仿宋" w:hAnsi="仿宋" w:hint="eastAsia"/>
          <w:color w:val="000000"/>
          <w:szCs w:val="32"/>
        </w:rPr>
        <w:t>年</w:t>
      </w:r>
      <w:r w:rsidR="0051073C">
        <w:rPr>
          <w:rFonts w:ascii="仿宋" w:hAnsi="仿宋" w:hint="eastAsia"/>
          <w:color w:val="000000"/>
          <w:szCs w:val="32"/>
        </w:rPr>
        <w:t>我会负责检查的3</w:t>
      </w:r>
      <w:r w:rsidR="0051073C">
        <w:rPr>
          <w:rFonts w:ascii="仿宋" w:hAnsi="仿宋"/>
          <w:color w:val="000000"/>
          <w:szCs w:val="32"/>
        </w:rPr>
        <w:t>0家资产评估机构</w:t>
      </w:r>
      <w:r w:rsidRPr="00924BB8">
        <w:rPr>
          <w:rFonts w:ascii="仿宋" w:hAnsi="仿宋"/>
          <w:color w:val="000000"/>
          <w:szCs w:val="32"/>
        </w:rPr>
        <w:t>执业质量检查</w:t>
      </w:r>
      <w:r w:rsidR="00AC56D6">
        <w:rPr>
          <w:rFonts w:ascii="仿宋" w:hAnsi="仿宋"/>
          <w:color w:val="000000"/>
          <w:szCs w:val="32"/>
        </w:rPr>
        <w:t>工作</w:t>
      </w:r>
      <w:r w:rsidRPr="00924BB8">
        <w:rPr>
          <w:rFonts w:ascii="仿宋" w:hAnsi="仿宋"/>
          <w:color w:val="000000"/>
          <w:szCs w:val="32"/>
        </w:rPr>
        <w:t>从</w:t>
      </w:r>
      <w:r w:rsidR="005C4CC5" w:rsidRPr="00924BB8">
        <w:rPr>
          <w:rFonts w:ascii="仿宋" w:hAnsi="仿宋"/>
          <w:color w:val="000000"/>
          <w:szCs w:val="32"/>
        </w:rPr>
        <w:t>8</w:t>
      </w:r>
      <w:r w:rsidRPr="00924BB8">
        <w:rPr>
          <w:rFonts w:ascii="仿宋" w:hAnsi="仿宋" w:hint="eastAsia"/>
          <w:color w:val="000000"/>
          <w:szCs w:val="32"/>
        </w:rPr>
        <w:t>月开始启动，至</w:t>
      </w:r>
      <w:r w:rsidRPr="00924BB8">
        <w:rPr>
          <w:rFonts w:ascii="仿宋" w:hAnsi="仿宋"/>
          <w:color w:val="000000"/>
          <w:szCs w:val="32"/>
        </w:rPr>
        <w:t>12月底完成，</w:t>
      </w:r>
      <w:r w:rsidR="005C4CC5" w:rsidRPr="00924BB8">
        <w:rPr>
          <w:rFonts w:ascii="仿宋" w:hAnsi="仿宋"/>
          <w:color w:val="000000"/>
          <w:szCs w:val="32"/>
        </w:rPr>
        <w:t>历时5个月，</w:t>
      </w:r>
      <w:r w:rsidRPr="00924BB8">
        <w:rPr>
          <w:rFonts w:ascii="仿宋" w:hAnsi="仿宋" w:hint="eastAsia"/>
          <w:color w:val="000000"/>
          <w:szCs w:val="32"/>
        </w:rPr>
        <w:t>分准</w:t>
      </w:r>
      <w:r w:rsidRPr="00924BB8">
        <w:rPr>
          <w:rFonts w:ascii="仿宋" w:hAnsi="仿宋" w:hint="eastAsia"/>
          <w:color w:val="000000"/>
          <w:szCs w:val="32"/>
        </w:rPr>
        <w:lastRenderedPageBreak/>
        <w:t>备</w:t>
      </w:r>
      <w:r w:rsidRPr="00924BB8">
        <w:rPr>
          <w:rFonts w:ascii="仿宋" w:hAnsi="仿宋"/>
          <w:color w:val="000000"/>
          <w:szCs w:val="32"/>
        </w:rPr>
        <w:t>、集中、现场和处罚</w:t>
      </w:r>
      <w:r w:rsidR="004B18B8" w:rsidRPr="00924BB8">
        <w:rPr>
          <w:rFonts w:ascii="仿宋" w:hAnsi="仿宋"/>
          <w:color w:val="000000"/>
          <w:szCs w:val="32"/>
        </w:rPr>
        <w:t>四</w:t>
      </w:r>
      <w:r w:rsidRPr="00924BB8">
        <w:rPr>
          <w:rFonts w:ascii="仿宋" w:hAnsi="仿宋" w:hint="eastAsia"/>
          <w:color w:val="000000"/>
          <w:szCs w:val="32"/>
        </w:rPr>
        <w:t>个</w:t>
      </w:r>
      <w:r w:rsidRPr="00924BB8">
        <w:rPr>
          <w:rFonts w:ascii="仿宋" w:hAnsi="仿宋"/>
          <w:color w:val="000000"/>
          <w:szCs w:val="32"/>
        </w:rPr>
        <w:t>阶段。</w:t>
      </w:r>
      <w:r w:rsidRPr="00924BB8">
        <w:rPr>
          <w:rFonts w:ascii="仿宋" w:hAnsi="仿宋" w:hint="eastAsia"/>
          <w:color w:val="000000"/>
          <w:szCs w:val="32"/>
        </w:rPr>
        <w:t>其中</w:t>
      </w:r>
      <w:r w:rsidRPr="00924BB8">
        <w:rPr>
          <w:rFonts w:ascii="仿宋" w:hAnsi="仿宋"/>
          <w:color w:val="000000"/>
          <w:szCs w:val="32"/>
        </w:rPr>
        <w:t>检查准备阶段完成了联合检查工作领导小组的设立、联合检查工作方案的确定</w:t>
      </w:r>
      <w:r w:rsidRPr="00924BB8">
        <w:rPr>
          <w:rFonts w:ascii="仿宋" w:hAnsi="仿宋" w:hint="eastAsia"/>
          <w:color w:val="000000"/>
          <w:szCs w:val="32"/>
        </w:rPr>
        <w:t>、</w:t>
      </w:r>
      <w:r w:rsidRPr="00924BB8">
        <w:rPr>
          <w:rFonts w:ascii="仿宋" w:hAnsi="仿宋"/>
          <w:color w:val="000000"/>
          <w:szCs w:val="32"/>
        </w:rPr>
        <w:t>检查人员的</w:t>
      </w:r>
      <w:r w:rsidRPr="00924BB8">
        <w:rPr>
          <w:rFonts w:ascii="仿宋" w:hAnsi="仿宋" w:hint="eastAsia"/>
          <w:color w:val="000000"/>
          <w:szCs w:val="32"/>
        </w:rPr>
        <w:t>选拔与</w:t>
      </w:r>
      <w:r w:rsidRPr="00924BB8">
        <w:rPr>
          <w:rFonts w:ascii="仿宋" w:hAnsi="仿宋"/>
          <w:color w:val="000000"/>
          <w:szCs w:val="32"/>
        </w:rPr>
        <w:t>培训、检查对象的确定与自查</w:t>
      </w:r>
      <w:r w:rsidRPr="00924BB8">
        <w:rPr>
          <w:rFonts w:ascii="仿宋" w:hAnsi="仿宋" w:hint="eastAsia"/>
          <w:color w:val="000000"/>
          <w:szCs w:val="32"/>
        </w:rPr>
        <w:t>等</w:t>
      </w:r>
      <w:r w:rsidRPr="00924BB8">
        <w:rPr>
          <w:rFonts w:ascii="仿宋" w:hAnsi="仿宋"/>
          <w:color w:val="000000"/>
          <w:szCs w:val="32"/>
        </w:rPr>
        <w:t>工作；</w:t>
      </w:r>
      <w:r w:rsidRPr="00924BB8">
        <w:rPr>
          <w:rFonts w:ascii="仿宋" w:hAnsi="仿宋" w:hint="eastAsia"/>
          <w:color w:val="000000"/>
          <w:szCs w:val="32"/>
        </w:rPr>
        <w:t>集中审查阶段</w:t>
      </w:r>
      <w:r w:rsidRPr="00924BB8">
        <w:rPr>
          <w:rFonts w:ascii="仿宋" w:hAnsi="仿宋"/>
          <w:color w:val="000000"/>
          <w:szCs w:val="32"/>
        </w:rPr>
        <w:t>完成了检查资料的收集、审计底稿的初步检查以及</w:t>
      </w:r>
      <w:r w:rsidRPr="00924BB8">
        <w:rPr>
          <w:rFonts w:ascii="仿宋" w:hAnsi="仿宋" w:hint="eastAsia"/>
          <w:color w:val="000000"/>
          <w:szCs w:val="32"/>
        </w:rPr>
        <w:t>重点</w:t>
      </w:r>
      <w:r w:rsidRPr="00924BB8">
        <w:rPr>
          <w:rFonts w:ascii="仿宋" w:hAnsi="仿宋"/>
          <w:color w:val="000000"/>
          <w:szCs w:val="32"/>
        </w:rPr>
        <w:t>检查对象的确定</w:t>
      </w:r>
      <w:r w:rsidRPr="00924BB8">
        <w:rPr>
          <w:rFonts w:ascii="仿宋" w:hAnsi="仿宋" w:hint="eastAsia"/>
          <w:color w:val="000000"/>
          <w:szCs w:val="32"/>
        </w:rPr>
        <w:t>等</w:t>
      </w:r>
      <w:r w:rsidRPr="00924BB8">
        <w:rPr>
          <w:rFonts w:ascii="仿宋" w:hAnsi="仿宋"/>
          <w:color w:val="000000"/>
          <w:szCs w:val="32"/>
        </w:rPr>
        <w:t>工作；</w:t>
      </w:r>
      <w:r w:rsidRPr="00924BB8">
        <w:rPr>
          <w:rFonts w:ascii="仿宋" w:hAnsi="仿宋" w:hint="eastAsia"/>
          <w:color w:val="000000"/>
          <w:szCs w:val="32"/>
        </w:rPr>
        <w:t>现场检查阶段完成</w:t>
      </w:r>
      <w:r w:rsidRPr="00924BB8">
        <w:rPr>
          <w:rFonts w:ascii="仿宋" w:hAnsi="仿宋"/>
          <w:color w:val="000000"/>
          <w:szCs w:val="32"/>
        </w:rPr>
        <w:t>了行业自律检查以及行政执法证据搜集等工作；</w:t>
      </w:r>
      <w:r w:rsidRPr="00924BB8">
        <w:rPr>
          <w:rFonts w:ascii="仿宋" w:hAnsi="仿宋" w:hint="eastAsia"/>
          <w:color w:val="000000"/>
          <w:szCs w:val="32"/>
        </w:rPr>
        <w:t>处罚</w:t>
      </w:r>
      <w:r w:rsidRPr="00924BB8">
        <w:rPr>
          <w:rFonts w:ascii="仿宋" w:hAnsi="仿宋"/>
          <w:color w:val="000000"/>
          <w:szCs w:val="32"/>
        </w:rPr>
        <w:t>阶段完成了</w:t>
      </w:r>
      <w:r w:rsidRPr="00924BB8">
        <w:rPr>
          <w:rFonts w:ascii="仿宋" w:hAnsi="仿宋" w:hint="eastAsia"/>
          <w:color w:val="000000"/>
          <w:szCs w:val="32"/>
        </w:rPr>
        <w:t>检查情况汇总、专家论证、移送行政处罚协商、</w:t>
      </w:r>
      <w:r w:rsidRPr="00924BB8">
        <w:rPr>
          <w:rFonts w:ascii="仿宋" w:hAnsi="仿宋"/>
          <w:color w:val="000000"/>
          <w:szCs w:val="32"/>
        </w:rPr>
        <w:t>拟</w:t>
      </w:r>
      <w:r w:rsidRPr="00924BB8">
        <w:rPr>
          <w:rFonts w:ascii="仿宋" w:hAnsi="仿宋" w:hint="eastAsia"/>
          <w:color w:val="000000"/>
          <w:szCs w:val="32"/>
        </w:rPr>
        <w:t>惩戒</w:t>
      </w:r>
      <w:r w:rsidRPr="00924BB8">
        <w:rPr>
          <w:rFonts w:ascii="仿宋" w:hAnsi="仿宋"/>
          <w:color w:val="000000"/>
          <w:szCs w:val="32"/>
        </w:rPr>
        <w:t>告知和申诉</w:t>
      </w:r>
      <w:r w:rsidRPr="00924BB8">
        <w:rPr>
          <w:rFonts w:ascii="仿宋" w:hAnsi="仿宋" w:hint="eastAsia"/>
          <w:color w:val="000000"/>
          <w:szCs w:val="32"/>
        </w:rPr>
        <w:t>、作出自律</w:t>
      </w:r>
      <w:r w:rsidRPr="00924BB8">
        <w:rPr>
          <w:rFonts w:ascii="仿宋" w:hAnsi="仿宋"/>
          <w:color w:val="000000"/>
          <w:szCs w:val="32"/>
        </w:rPr>
        <w:t>惩戒决定等工作</w:t>
      </w:r>
      <w:r w:rsidRPr="00924BB8">
        <w:rPr>
          <w:rFonts w:ascii="仿宋" w:hAnsi="仿宋" w:hint="eastAsia"/>
          <w:color w:val="000000"/>
          <w:szCs w:val="32"/>
        </w:rPr>
        <w:t>。</w:t>
      </w:r>
    </w:p>
    <w:p w14:paraId="2D519B27" w14:textId="54E0798D" w:rsidR="00253BB3" w:rsidRPr="00924BB8" w:rsidRDefault="00F00B69" w:rsidP="00C7689C">
      <w:pPr>
        <w:pStyle w:val="a8"/>
        <w:widowControl/>
        <w:numPr>
          <w:ilvl w:val="0"/>
          <w:numId w:val="6"/>
        </w:numPr>
        <w:spacing w:line="560" w:lineRule="exact"/>
        <w:ind w:firstLineChars="0"/>
        <w:rPr>
          <w:rFonts w:ascii="楷体" w:eastAsia="楷体" w:hAnsi="楷体"/>
        </w:rPr>
      </w:pPr>
      <w:r w:rsidRPr="00924BB8">
        <w:rPr>
          <w:rFonts w:ascii="楷体" w:eastAsia="楷体" w:hAnsi="楷体" w:hint="eastAsia"/>
        </w:rPr>
        <w:t>资产评估机构</w:t>
      </w:r>
      <w:r w:rsidR="00ED2384" w:rsidRPr="00924BB8">
        <w:rPr>
          <w:rFonts w:ascii="楷体" w:eastAsia="楷体" w:hAnsi="楷体"/>
        </w:rPr>
        <w:t>配合度及整体</w:t>
      </w:r>
      <w:r w:rsidR="00E068F9" w:rsidRPr="00924BB8">
        <w:rPr>
          <w:rFonts w:ascii="楷体" w:eastAsia="楷体" w:hAnsi="楷体" w:hint="eastAsia"/>
        </w:rPr>
        <w:t>评价</w:t>
      </w:r>
    </w:p>
    <w:p w14:paraId="3A4EB3B0" w14:textId="42A3F9BA" w:rsidR="00512E04" w:rsidRPr="00924BB8" w:rsidRDefault="00512E04"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在</w:t>
      </w:r>
      <w:r w:rsidRPr="00924BB8">
        <w:rPr>
          <w:rFonts w:ascii="仿宋" w:hAnsi="仿宋"/>
          <w:color w:val="000000"/>
          <w:szCs w:val="32"/>
        </w:rPr>
        <w:t>今年的执业质量</w:t>
      </w:r>
      <w:r w:rsidRPr="00924BB8">
        <w:rPr>
          <w:rFonts w:ascii="仿宋" w:hAnsi="仿宋" w:hint="eastAsia"/>
          <w:color w:val="000000"/>
          <w:szCs w:val="32"/>
        </w:rPr>
        <w:t>检查过程中，绝大多数</w:t>
      </w:r>
      <w:r w:rsidR="00F00B69">
        <w:rPr>
          <w:rFonts w:ascii="仿宋" w:hAnsi="仿宋" w:hint="eastAsia"/>
          <w:color w:val="000000"/>
          <w:szCs w:val="32"/>
        </w:rPr>
        <w:t>被检查</w:t>
      </w:r>
      <w:r w:rsidR="00F00B69" w:rsidRPr="00B32101">
        <w:rPr>
          <w:rFonts w:ascii="仿宋" w:hAnsi="仿宋" w:hint="eastAsia"/>
          <w:color w:val="000000"/>
          <w:szCs w:val="32"/>
        </w:rPr>
        <w:t>资产评估机构</w:t>
      </w:r>
      <w:r w:rsidRPr="00924BB8">
        <w:rPr>
          <w:rFonts w:ascii="仿宋" w:hAnsi="仿宋" w:hint="eastAsia"/>
          <w:color w:val="000000"/>
          <w:szCs w:val="32"/>
        </w:rPr>
        <w:t>能够积极配合检查，法定代表人和签字评估师能够到场，部分评估师由于疫情、出差或离职等原因无法到场配合工作的，也都通过</w:t>
      </w:r>
      <w:r w:rsidRPr="00924BB8">
        <w:rPr>
          <w:rFonts w:ascii="仿宋" w:hAnsi="仿宋"/>
          <w:color w:val="000000"/>
          <w:szCs w:val="32"/>
        </w:rPr>
        <w:t>视频沟通或</w:t>
      </w:r>
      <w:r w:rsidRPr="00924BB8">
        <w:rPr>
          <w:rFonts w:ascii="仿宋" w:hAnsi="仿宋" w:hint="eastAsia"/>
          <w:color w:val="000000"/>
          <w:szCs w:val="32"/>
        </w:rPr>
        <w:t>授权委托的</w:t>
      </w:r>
      <w:r w:rsidRPr="00924BB8">
        <w:rPr>
          <w:rFonts w:ascii="仿宋" w:hAnsi="仿宋"/>
          <w:color w:val="000000"/>
          <w:szCs w:val="32"/>
        </w:rPr>
        <w:t>方式配合了检查工作</w:t>
      </w:r>
      <w:r w:rsidRPr="00924BB8">
        <w:rPr>
          <w:rFonts w:ascii="仿宋" w:hAnsi="仿宋" w:hint="eastAsia"/>
          <w:color w:val="000000"/>
          <w:szCs w:val="32"/>
        </w:rPr>
        <w:t>。</w:t>
      </w:r>
    </w:p>
    <w:p w14:paraId="7850451F" w14:textId="0CD9689E" w:rsidR="00512E04" w:rsidRPr="00924BB8" w:rsidRDefault="00512E04"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检查组综合上报资料和现场检查情况对</w:t>
      </w:r>
      <w:r w:rsidR="00B913C4">
        <w:rPr>
          <w:rFonts w:ascii="仿宋" w:hAnsi="仿宋"/>
          <w:color w:val="000000"/>
          <w:szCs w:val="32"/>
        </w:rPr>
        <w:t>我会负责</w:t>
      </w:r>
      <w:r w:rsidR="00833F84" w:rsidRPr="00153BA9">
        <w:rPr>
          <w:rFonts w:ascii="仿宋" w:hAnsi="仿宋"/>
          <w:color w:val="000000"/>
          <w:szCs w:val="32"/>
        </w:rPr>
        <w:t>检查</w:t>
      </w:r>
      <w:r w:rsidR="00833F84" w:rsidRPr="00153BA9">
        <w:rPr>
          <w:rFonts w:ascii="仿宋" w:hAnsi="仿宋" w:hint="eastAsia"/>
          <w:color w:val="000000"/>
          <w:szCs w:val="32"/>
        </w:rPr>
        <w:t>的</w:t>
      </w:r>
      <w:r w:rsidR="00833F84" w:rsidRPr="00153BA9">
        <w:rPr>
          <w:rFonts w:ascii="仿宋" w:hAnsi="仿宋"/>
          <w:color w:val="000000"/>
          <w:szCs w:val="32"/>
        </w:rPr>
        <w:t>30家</w:t>
      </w:r>
      <w:r w:rsidR="00F00B69" w:rsidRPr="00B32101">
        <w:rPr>
          <w:rFonts w:ascii="仿宋" w:hAnsi="仿宋" w:hint="eastAsia"/>
          <w:color w:val="000000"/>
          <w:szCs w:val="32"/>
        </w:rPr>
        <w:t>资产评估机构</w:t>
      </w:r>
      <w:r w:rsidRPr="00924BB8">
        <w:rPr>
          <w:rFonts w:ascii="仿宋" w:hAnsi="仿宋" w:hint="eastAsia"/>
          <w:color w:val="000000"/>
          <w:szCs w:val="32"/>
        </w:rPr>
        <w:t>进行</w:t>
      </w:r>
      <w:r w:rsidRPr="00924BB8">
        <w:rPr>
          <w:rFonts w:ascii="仿宋" w:hAnsi="仿宋"/>
          <w:color w:val="000000"/>
          <w:szCs w:val="32"/>
        </w:rPr>
        <w:t>了评级</w:t>
      </w:r>
      <w:r w:rsidRPr="00924BB8">
        <w:rPr>
          <w:rFonts w:ascii="仿宋" w:hAnsi="仿宋" w:hint="eastAsia"/>
          <w:color w:val="000000"/>
          <w:szCs w:val="32"/>
        </w:rPr>
        <w:t>，本年评级结果</w:t>
      </w:r>
      <w:r w:rsidRPr="00924BB8">
        <w:rPr>
          <w:rFonts w:ascii="仿宋" w:hAnsi="仿宋"/>
          <w:color w:val="000000"/>
          <w:szCs w:val="32"/>
        </w:rPr>
        <w:t>A到B-的17</w:t>
      </w:r>
      <w:r w:rsidRPr="00924BB8">
        <w:rPr>
          <w:rFonts w:ascii="仿宋" w:hAnsi="仿宋" w:hint="eastAsia"/>
          <w:color w:val="000000"/>
          <w:szCs w:val="32"/>
        </w:rPr>
        <w:t>家</w:t>
      </w:r>
      <w:r w:rsidRPr="00924BB8">
        <w:rPr>
          <w:rFonts w:ascii="仿宋" w:hAnsi="仿宋"/>
          <w:color w:val="000000"/>
          <w:szCs w:val="32"/>
        </w:rPr>
        <w:t>；评级结果C的6家；评级结果</w:t>
      </w:r>
      <w:r w:rsidRPr="00924BB8">
        <w:rPr>
          <w:rFonts w:ascii="仿宋" w:hAnsi="仿宋" w:hint="eastAsia"/>
          <w:color w:val="000000"/>
          <w:szCs w:val="32"/>
        </w:rPr>
        <w:t>为</w:t>
      </w:r>
      <w:r w:rsidRPr="00924BB8">
        <w:rPr>
          <w:rFonts w:ascii="仿宋" w:hAnsi="仿宋"/>
          <w:color w:val="000000"/>
          <w:szCs w:val="32"/>
        </w:rPr>
        <w:t>D的2家；另有5</w:t>
      </w:r>
      <w:r w:rsidRPr="00924BB8">
        <w:rPr>
          <w:rFonts w:ascii="仿宋" w:hAnsi="仿宋" w:hint="eastAsia"/>
          <w:color w:val="000000"/>
          <w:szCs w:val="32"/>
        </w:rPr>
        <w:t>家为新</w:t>
      </w:r>
      <w:r w:rsidRPr="00924BB8">
        <w:rPr>
          <w:rFonts w:ascii="仿宋" w:hAnsi="仿宋"/>
          <w:color w:val="000000"/>
          <w:szCs w:val="32"/>
        </w:rPr>
        <w:t>备案</w:t>
      </w:r>
      <w:r w:rsidR="00F131DC" w:rsidRPr="00B32101">
        <w:rPr>
          <w:rFonts w:ascii="仿宋" w:hAnsi="仿宋" w:hint="eastAsia"/>
          <w:color w:val="000000"/>
          <w:szCs w:val="32"/>
        </w:rPr>
        <w:t>资产评估机构</w:t>
      </w:r>
      <w:r w:rsidRPr="00924BB8">
        <w:rPr>
          <w:rFonts w:ascii="仿宋" w:hAnsi="仿宋"/>
          <w:color w:val="000000"/>
          <w:szCs w:val="32"/>
        </w:rPr>
        <w:t>，尚未出具资产评估报告,未参与</w:t>
      </w:r>
      <w:r w:rsidRPr="00924BB8">
        <w:rPr>
          <w:rFonts w:ascii="仿宋" w:hAnsi="仿宋" w:hint="eastAsia"/>
          <w:color w:val="000000"/>
          <w:szCs w:val="32"/>
        </w:rPr>
        <w:t>评级</w:t>
      </w:r>
      <w:r w:rsidRPr="00924BB8">
        <w:rPr>
          <w:rFonts w:ascii="仿宋" w:hAnsi="仿宋"/>
          <w:color w:val="000000"/>
          <w:szCs w:val="32"/>
        </w:rPr>
        <w:t>。</w:t>
      </w:r>
    </w:p>
    <w:p w14:paraId="3A789C77" w14:textId="7D91D611" w:rsidR="00512E04" w:rsidRPr="00512E04" w:rsidRDefault="00512E04" w:rsidP="00C7689C">
      <w:pPr>
        <w:widowControl/>
        <w:spacing w:line="560" w:lineRule="exact"/>
        <w:ind w:firstLineChars="200" w:firstLine="640"/>
        <w:jc w:val="center"/>
        <w:rPr>
          <w:rFonts w:ascii="仿宋" w:hAnsi="仿宋"/>
          <w:szCs w:val="32"/>
        </w:rPr>
      </w:pPr>
      <w:r w:rsidRPr="00512E04">
        <w:rPr>
          <w:rFonts w:ascii="仿宋" w:hAnsi="仿宋" w:hint="eastAsia"/>
          <w:szCs w:val="32"/>
        </w:rPr>
        <w:t>表</w:t>
      </w:r>
      <w:r w:rsidR="003519ED">
        <w:rPr>
          <w:rFonts w:ascii="仿宋" w:hAnsi="仿宋"/>
          <w:szCs w:val="32"/>
        </w:rPr>
        <w:t>1</w:t>
      </w:r>
      <w:r w:rsidRPr="00512E04">
        <w:rPr>
          <w:rFonts w:ascii="仿宋" w:hAnsi="仿宋" w:hint="eastAsia"/>
          <w:szCs w:val="32"/>
        </w:rPr>
        <w:t xml:space="preserve">  被查</w:t>
      </w:r>
      <w:r w:rsidR="00F131DC" w:rsidRPr="00B32101">
        <w:rPr>
          <w:rFonts w:ascii="仿宋" w:hAnsi="仿宋" w:hint="eastAsia"/>
          <w:color w:val="000000"/>
          <w:szCs w:val="32"/>
        </w:rPr>
        <w:t>资产评估机构</w:t>
      </w:r>
      <w:r w:rsidRPr="00512E04">
        <w:rPr>
          <w:rFonts w:ascii="仿宋" w:hAnsi="仿宋" w:hint="eastAsia"/>
          <w:szCs w:val="32"/>
        </w:rPr>
        <w:t>评级</w:t>
      </w:r>
      <w:r w:rsidRPr="00512E04">
        <w:rPr>
          <w:rFonts w:ascii="仿宋" w:hAnsi="仿宋"/>
          <w:szCs w:val="32"/>
        </w:rPr>
        <w:t>统计表</w:t>
      </w:r>
    </w:p>
    <w:tbl>
      <w:tblPr>
        <w:tblStyle w:val="ab"/>
        <w:tblW w:w="0" w:type="auto"/>
        <w:tblLook w:val="04A0" w:firstRow="1" w:lastRow="0" w:firstColumn="1" w:lastColumn="0" w:noHBand="0" w:noVBand="1"/>
      </w:tblPr>
      <w:tblGrid>
        <w:gridCol w:w="1382"/>
        <w:gridCol w:w="1382"/>
        <w:gridCol w:w="1383"/>
        <w:gridCol w:w="1383"/>
        <w:gridCol w:w="1383"/>
        <w:gridCol w:w="1383"/>
      </w:tblGrid>
      <w:tr w:rsidR="00512E04" w14:paraId="726679D9" w14:textId="77777777" w:rsidTr="00BE2348">
        <w:tc>
          <w:tcPr>
            <w:tcW w:w="1382" w:type="dxa"/>
          </w:tcPr>
          <w:p w14:paraId="401751C7"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评级</w:t>
            </w:r>
          </w:p>
        </w:tc>
        <w:tc>
          <w:tcPr>
            <w:tcW w:w="1382" w:type="dxa"/>
          </w:tcPr>
          <w:p w14:paraId="59A9233F"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A～</w:t>
            </w:r>
            <w:r w:rsidRPr="001B3AE8">
              <w:rPr>
                <w:rFonts w:ascii="仿宋" w:hAnsi="仿宋"/>
                <w:sz w:val="24"/>
                <w:szCs w:val="24"/>
              </w:rPr>
              <w:t>B-</w:t>
            </w:r>
          </w:p>
        </w:tc>
        <w:tc>
          <w:tcPr>
            <w:tcW w:w="1383" w:type="dxa"/>
          </w:tcPr>
          <w:p w14:paraId="48BA0D90"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C</w:t>
            </w:r>
          </w:p>
        </w:tc>
        <w:tc>
          <w:tcPr>
            <w:tcW w:w="1383" w:type="dxa"/>
          </w:tcPr>
          <w:p w14:paraId="24A739D0"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D</w:t>
            </w:r>
          </w:p>
        </w:tc>
        <w:tc>
          <w:tcPr>
            <w:tcW w:w="1383" w:type="dxa"/>
          </w:tcPr>
          <w:p w14:paraId="3E6194A3"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不适用</w:t>
            </w:r>
          </w:p>
        </w:tc>
        <w:tc>
          <w:tcPr>
            <w:tcW w:w="1383" w:type="dxa"/>
          </w:tcPr>
          <w:p w14:paraId="40901445"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合计</w:t>
            </w:r>
          </w:p>
        </w:tc>
      </w:tr>
      <w:tr w:rsidR="00512E04" w14:paraId="570E91C4" w14:textId="77777777" w:rsidTr="00BE2348">
        <w:tc>
          <w:tcPr>
            <w:tcW w:w="1382" w:type="dxa"/>
          </w:tcPr>
          <w:p w14:paraId="605D716A"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机构</w:t>
            </w:r>
            <w:r w:rsidRPr="001B3AE8">
              <w:rPr>
                <w:rFonts w:ascii="仿宋" w:hAnsi="仿宋"/>
                <w:sz w:val="24"/>
                <w:szCs w:val="24"/>
              </w:rPr>
              <w:t>数量</w:t>
            </w:r>
          </w:p>
        </w:tc>
        <w:tc>
          <w:tcPr>
            <w:tcW w:w="1382" w:type="dxa"/>
          </w:tcPr>
          <w:p w14:paraId="7BD4EBCF"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17</w:t>
            </w:r>
          </w:p>
        </w:tc>
        <w:tc>
          <w:tcPr>
            <w:tcW w:w="1383" w:type="dxa"/>
          </w:tcPr>
          <w:p w14:paraId="32677184"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6</w:t>
            </w:r>
          </w:p>
        </w:tc>
        <w:tc>
          <w:tcPr>
            <w:tcW w:w="1383" w:type="dxa"/>
          </w:tcPr>
          <w:p w14:paraId="457A9E9C"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2</w:t>
            </w:r>
          </w:p>
        </w:tc>
        <w:tc>
          <w:tcPr>
            <w:tcW w:w="1383" w:type="dxa"/>
          </w:tcPr>
          <w:p w14:paraId="0C238F5B"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5</w:t>
            </w:r>
          </w:p>
        </w:tc>
        <w:tc>
          <w:tcPr>
            <w:tcW w:w="1383" w:type="dxa"/>
          </w:tcPr>
          <w:p w14:paraId="4B3F50E0"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30</w:t>
            </w:r>
          </w:p>
        </w:tc>
      </w:tr>
      <w:tr w:rsidR="00512E04" w14:paraId="221773B8" w14:textId="77777777" w:rsidTr="00BE2348">
        <w:tc>
          <w:tcPr>
            <w:tcW w:w="1382" w:type="dxa"/>
          </w:tcPr>
          <w:p w14:paraId="64FAF7B9" w14:textId="77777777" w:rsidR="00512E04" w:rsidRPr="001B3AE8" w:rsidRDefault="00512E04" w:rsidP="00C7689C">
            <w:pPr>
              <w:widowControl/>
              <w:spacing w:line="560" w:lineRule="exact"/>
              <w:jc w:val="center"/>
              <w:rPr>
                <w:rFonts w:ascii="仿宋" w:hAnsi="仿宋"/>
                <w:sz w:val="24"/>
                <w:szCs w:val="24"/>
              </w:rPr>
            </w:pPr>
            <w:r w:rsidRPr="001B3AE8">
              <w:rPr>
                <w:rFonts w:ascii="仿宋" w:hAnsi="仿宋" w:hint="eastAsia"/>
                <w:sz w:val="24"/>
                <w:szCs w:val="24"/>
              </w:rPr>
              <w:t>占比</w:t>
            </w:r>
            <w:r w:rsidRPr="001B3AE8">
              <w:rPr>
                <w:rFonts w:ascii="仿宋" w:hAnsi="仿宋"/>
                <w:sz w:val="24"/>
                <w:szCs w:val="24"/>
              </w:rPr>
              <w:t>（</w:t>
            </w:r>
            <w:r w:rsidRPr="001B3AE8">
              <w:rPr>
                <w:rFonts w:ascii="仿宋" w:hAnsi="仿宋" w:hint="eastAsia"/>
                <w:sz w:val="24"/>
                <w:szCs w:val="24"/>
              </w:rPr>
              <w:t>%</w:t>
            </w:r>
            <w:r w:rsidRPr="001B3AE8">
              <w:rPr>
                <w:rFonts w:ascii="仿宋" w:hAnsi="仿宋"/>
                <w:sz w:val="24"/>
                <w:szCs w:val="24"/>
              </w:rPr>
              <w:t>）</w:t>
            </w:r>
          </w:p>
        </w:tc>
        <w:tc>
          <w:tcPr>
            <w:tcW w:w="1382" w:type="dxa"/>
          </w:tcPr>
          <w:p w14:paraId="0AFE6727"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56.70</w:t>
            </w:r>
          </w:p>
        </w:tc>
        <w:tc>
          <w:tcPr>
            <w:tcW w:w="1383" w:type="dxa"/>
          </w:tcPr>
          <w:p w14:paraId="5CC7E8B5"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20</w:t>
            </w:r>
          </w:p>
        </w:tc>
        <w:tc>
          <w:tcPr>
            <w:tcW w:w="1383" w:type="dxa"/>
          </w:tcPr>
          <w:p w14:paraId="7C3741AA"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6.70</w:t>
            </w:r>
          </w:p>
        </w:tc>
        <w:tc>
          <w:tcPr>
            <w:tcW w:w="1383" w:type="dxa"/>
          </w:tcPr>
          <w:p w14:paraId="6EDF15C2"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16.70</w:t>
            </w:r>
          </w:p>
        </w:tc>
        <w:tc>
          <w:tcPr>
            <w:tcW w:w="1383" w:type="dxa"/>
          </w:tcPr>
          <w:p w14:paraId="7F52AF2E" w14:textId="77777777" w:rsidR="00512E04" w:rsidRPr="001B3AE8" w:rsidRDefault="00512E04" w:rsidP="00C7689C">
            <w:pPr>
              <w:widowControl/>
              <w:spacing w:line="560" w:lineRule="exact"/>
              <w:jc w:val="center"/>
              <w:rPr>
                <w:rFonts w:ascii="仿宋" w:hAnsi="仿宋"/>
                <w:sz w:val="24"/>
                <w:szCs w:val="24"/>
              </w:rPr>
            </w:pPr>
            <w:r>
              <w:rPr>
                <w:rFonts w:ascii="仿宋" w:hAnsi="仿宋" w:hint="eastAsia"/>
                <w:sz w:val="24"/>
                <w:szCs w:val="24"/>
              </w:rPr>
              <w:t>100</w:t>
            </w:r>
          </w:p>
        </w:tc>
      </w:tr>
    </w:tbl>
    <w:p w14:paraId="15EE0B66" w14:textId="6268C3D1" w:rsidR="004E0B92" w:rsidRDefault="00512E04" w:rsidP="00C7689C">
      <w:pPr>
        <w:pStyle w:val="a8"/>
        <w:spacing w:line="560" w:lineRule="exact"/>
        <w:ind w:firstLineChars="0" w:firstLine="0"/>
        <w:rPr>
          <w:rFonts w:ascii="仿宋" w:hAnsi="仿宋"/>
          <w:i/>
          <w:sz w:val="24"/>
          <w:szCs w:val="24"/>
        </w:rPr>
      </w:pPr>
      <w:r w:rsidRPr="00512E04">
        <w:rPr>
          <w:rFonts w:ascii="仿宋" w:hAnsi="仿宋"/>
          <w:i/>
          <w:sz w:val="24"/>
          <w:szCs w:val="24"/>
        </w:rPr>
        <w:t>注</w:t>
      </w:r>
      <w:r w:rsidRPr="00512E04">
        <w:rPr>
          <w:rFonts w:ascii="仿宋" w:hAnsi="仿宋" w:hint="eastAsia"/>
          <w:i/>
          <w:sz w:val="24"/>
          <w:szCs w:val="24"/>
        </w:rPr>
        <w:t>：本次检查的评价标准以组为单位、用A、B、C、D表示，A为好，D为差，</w:t>
      </w:r>
      <w:r w:rsidR="0038210A">
        <w:rPr>
          <w:rFonts w:ascii="仿宋" w:hAnsi="仿宋" w:hint="eastAsia"/>
          <w:i/>
          <w:sz w:val="24"/>
          <w:szCs w:val="24"/>
        </w:rPr>
        <w:t>B、</w:t>
      </w:r>
      <w:r w:rsidR="0038210A">
        <w:rPr>
          <w:rFonts w:ascii="仿宋" w:hAnsi="仿宋" w:hint="eastAsia"/>
          <w:i/>
          <w:sz w:val="24"/>
          <w:szCs w:val="24"/>
        </w:rPr>
        <w:lastRenderedPageBreak/>
        <w:t>C介于</w:t>
      </w:r>
      <w:r w:rsidR="0038210A">
        <w:rPr>
          <w:rFonts w:ascii="仿宋" w:hAnsi="仿宋"/>
          <w:i/>
          <w:sz w:val="24"/>
          <w:szCs w:val="24"/>
        </w:rPr>
        <w:t>二者之间</w:t>
      </w:r>
      <w:r w:rsidRPr="00512E04">
        <w:rPr>
          <w:rFonts w:ascii="仿宋" w:hAnsi="仿宋" w:hint="eastAsia"/>
          <w:i/>
          <w:sz w:val="24"/>
          <w:szCs w:val="24"/>
        </w:rPr>
        <w:t>。</w:t>
      </w:r>
    </w:p>
    <w:p w14:paraId="22C90F39" w14:textId="0B8F3BD6" w:rsidR="00F40B4C" w:rsidRPr="00924BB8" w:rsidRDefault="00B913C4" w:rsidP="00C7689C">
      <w:pPr>
        <w:pStyle w:val="a8"/>
        <w:widowControl/>
        <w:numPr>
          <w:ilvl w:val="0"/>
          <w:numId w:val="1"/>
        </w:numPr>
        <w:spacing w:line="560" w:lineRule="exact"/>
        <w:ind w:firstLineChars="0"/>
        <w:rPr>
          <w:rFonts w:ascii="黑体" w:eastAsia="黑体" w:hAnsi="黑体"/>
          <w:color w:val="000000"/>
          <w:szCs w:val="32"/>
        </w:rPr>
      </w:pPr>
      <w:r>
        <w:rPr>
          <w:rFonts w:ascii="黑体" w:eastAsia="黑体" w:hAnsi="黑体"/>
          <w:color w:val="000000"/>
          <w:szCs w:val="32"/>
        </w:rPr>
        <w:t>我会负责</w:t>
      </w:r>
      <w:r w:rsidR="00DC2A08" w:rsidRPr="00924BB8">
        <w:rPr>
          <w:rFonts w:ascii="黑体" w:eastAsia="黑体" w:hAnsi="黑体"/>
          <w:color w:val="000000"/>
          <w:szCs w:val="32"/>
        </w:rPr>
        <w:t>检</w:t>
      </w:r>
      <w:r w:rsidR="00F40B4C" w:rsidRPr="00924BB8">
        <w:rPr>
          <w:rFonts w:ascii="黑体" w:eastAsia="黑体" w:hAnsi="黑体"/>
          <w:color w:val="000000"/>
          <w:szCs w:val="32"/>
        </w:rPr>
        <w:t>查</w:t>
      </w:r>
      <w:r w:rsidR="00833F84">
        <w:rPr>
          <w:rFonts w:ascii="黑体" w:eastAsia="黑体" w:hAnsi="黑体" w:hint="eastAsia"/>
          <w:color w:val="000000"/>
          <w:szCs w:val="32"/>
        </w:rPr>
        <w:t>的30家</w:t>
      </w:r>
      <w:r w:rsidR="00DC2A08" w:rsidRPr="00924BB8">
        <w:rPr>
          <w:rFonts w:ascii="黑体" w:eastAsia="黑体" w:hAnsi="黑体"/>
          <w:color w:val="000000"/>
          <w:szCs w:val="32"/>
        </w:rPr>
        <w:t>资产评估</w:t>
      </w:r>
      <w:r w:rsidR="00F40B4C" w:rsidRPr="00924BB8">
        <w:rPr>
          <w:rFonts w:ascii="黑体" w:eastAsia="黑体" w:hAnsi="黑体"/>
          <w:color w:val="000000"/>
          <w:szCs w:val="32"/>
        </w:rPr>
        <w:t>机构</w:t>
      </w:r>
      <w:r w:rsidR="00323421" w:rsidRPr="00924BB8">
        <w:rPr>
          <w:rFonts w:ascii="黑体" w:eastAsia="黑体" w:hAnsi="黑体" w:hint="eastAsia"/>
          <w:color w:val="000000"/>
          <w:szCs w:val="32"/>
        </w:rPr>
        <w:t>现状分析</w:t>
      </w:r>
    </w:p>
    <w:p w14:paraId="31A3710B" w14:textId="5ECE425C" w:rsidR="006E7D86" w:rsidRPr="00924BB8" w:rsidRDefault="006E7D86"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通过查阅资料、访谈以及深入现场检查</w:t>
      </w:r>
      <w:r w:rsidR="00606664" w:rsidRPr="00924BB8">
        <w:rPr>
          <w:rFonts w:ascii="仿宋" w:hAnsi="仿宋" w:hint="eastAsia"/>
          <w:color w:val="000000"/>
          <w:szCs w:val="32"/>
        </w:rPr>
        <w:t>资产</w:t>
      </w:r>
      <w:r w:rsidRPr="00924BB8">
        <w:rPr>
          <w:rFonts w:ascii="仿宋" w:hAnsi="仿宋" w:hint="eastAsia"/>
          <w:color w:val="000000"/>
          <w:szCs w:val="32"/>
        </w:rPr>
        <w:t>评估报告底稿、资产评估报告，</w:t>
      </w:r>
      <w:r w:rsidR="00736192" w:rsidRPr="00924BB8">
        <w:rPr>
          <w:rFonts w:ascii="仿宋" w:hAnsi="仿宋" w:hint="eastAsia"/>
          <w:color w:val="000000"/>
          <w:szCs w:val="32"/>
        </w:rPr>
        <w:t>我</w:t>
      </w:r>
      <w:r w:rsidRPr="00924BB8">
        <w:rPr>
          <w:rFonts w:ascii="仿宋" w:hAnsi="仿宋" w:hint="eastAsia"/>
          <w:color w:val="000000"/>
          <w:szCs w:val="32"/>
        </w:rPr>
        <w:t>会对被检查</w:t>
      </w:r>
      <w:r w:rsidR="00F131DC" w:rsidRPr="00B32101">
        <w:rPr>
          <w:rFonts w:ascii="仿宋" w:hAnsi="仿宋" w:hint="eastAsia"/>
          <w:color w:val="000000"/>
          <w:szCs w:val="32"/>
        </w:rPr>
        <w:t>资产评估机构</w:t>
      </w:r>
      <w:r w:rsidR="00736192" w:rsidRPr="00924BB8">
        <w:rPr>
          <w:rFonts w:ascii="仿宋" w:hAnsi="仿宋" w:hint="eastAsia"/>
          <w:color w:val="000000"/>
          <w:szCs w:val="32"/>
        </w:rPr>
        <w:t>的</w:t>
      </w:r>
      <w:r w:rsidRPr="00924BB8">
        <w:rPr>
          <w:rFonts w:ascii="仿宋" w:hAnsi="仿宋" w:hint="eastAsia"/>
          <w:color w:val="000000"/>
          <w:szCs w:val="32"/>
        </w:rPr>
        <w:t>特点进行梳理，汇总情况如下：</w:t>
      </w:r>
    </w:p>
    <w:p w14:paraId="73E164BD" w14:textId="10C1BA31" w:rsidR="00736192" w:rsidRPr="00924BB8" w:rsidRDefault="00565D49" w:rsidP="00C7689C">
      <w:pPr>
        <w:pStyle w:val="a8"/>
        <w:widowControl/>
        <w:numPr>
          <w:ilvl w:val="0"/>
          <w:numId w:val="8"/>
        </w:numPr>
        <w:spacing w:line="560" w:lineRule="exact"/>
        <w:ind w:firstLineChars="0"/>
        <w:rPr>
          <w:rFonts w:ascii="楷体" w:eastAsia="楷体" w:hAnsi="楷体"/>
          <w:color w:val="000000"/>
          <w:szCs w:val="32"/>
        </w:rPr>
      </w:pPr>
      <w:r w:rsidRPr="00924BB8">
        <w:rPr>
          <w:rFonts w:ascii="楷体" w:eastAsia="楷体" w:hAnsi="楷体" w:hint="eastAsia"/>
          <w:color w:val="000000"/>
          <w:szCs w:val="32"/>
        </w:rPr>
        <w:t>总体</w:t>
      </w:r>
      <w:r w:rsidR="005857A3" w:rsidRPr="00924BB8">
        <w:rPr>
          <w:rFonts w:ascii="楷体" w:eastAsia="楷体" w:hAnsi="楷体" w:hint="eastAsia"/>
          <w:color w:val="000000"/>
          <w:szCs w:val="32"/>
        </w:rPr>
        <w:t>情况</w:t>
      </w:r>
    </w:p>
    <w:p w14:paraId="5A0AC838" w14:textId="4E059971" w:rsidR="00EB2411" w:rsidRPr="00924BB8" w:rsidRDefault="00EB2411" w:rsidP="00C7689C">
      <w:pPr>
        <w:spacing w:line="560" w:lineRule="exact"/>
        <w:ind w:firstLineChars="201" w:firstLine="643"/>
        <w:rPr>
          <w:rFonts w:ascii="仿宋" w:hAnsi="仿宋"/>
          <w:color w:val="000000"/>
          <w:szCs w:val="32"/>
        </w:rPr>
      </w:pPr>
      <w:r w:rsidRPr="00924BB8">
        <w:rPr>
          <w:rFonts w:ascii="仿宋" w:hAnsi="仿宋"/>
          <w:color w:val="000000"/>
          <w:szCs w:val="32"/>
        </w:rPr>
        <w:t>1.机构设立情况</w:t>
      </w:r>
    </w:p>
    <w:p w14:paraId="1AD72D5C" w14:textId="429BA601" w:rsidR="00D45420" w:rsidRPr="00924BB8" w:rsidRDefault="005857A3" w:rsidP="00C7689C">
      <w:pPr>
        <w:spacing w:line="560" w:lineRule="exact"/>
        <w:ind w:firstLineChars="201" w:firstLine="643"/>
        <w:rPr>
          <w:rFonts w:ascii="仿宋" w:hAnsi="仿宋"/>
          <w:color w:val="000000"/>
          <w:szCs w:val="32"/>
        </w:rPr>
      </w:pPr>
      <w:r w:rsidRPr="00924BB8">
        <w:rPr>
          <w:rFonts w:ascii="仿宋" w:hAnsi="仿宋"/>
          <w:color w:val="000000"/>
          <w:szCs w:val="32"/>
        </w:rPr>
        <w:t>30</w:t>
      </w:r>
      <w:r w:rsidRPr="00924BB8">
        <w:rPr>
          <w:rFonts w:ascii="仿宋" w:hAnsi="仿宋" w:hint="eastAsia"/>
          <w:color w:val="000000"/>
          <w:szCs w:val="32"/>
        </w:rPr>
        <w:t>家</w:t>
      </w:r>
      <w:r w:rsidR="00F131DC" w:rsidRPr="00B32101">
        <w:rPr>
          <w:rFonts w:ascii="仿宋" w:hAnsi="仿宋" w:hint="eastAsia"/>
          <w:color w:val="000000"/>
          <w:szCs w:val="32"/>
        </w:rPr>
        <w:t>被检查资产评估机构</w:t>
      </w:r>
      <w:r w:rsidRPr="00924BB8">
        <w:rPr>
          <w:rFonts w:ascii="仿宋" w:hAnsi="仿宋"/>
          <w:color w:val="000000"/>
          <w:szCs w:val="32"/>
        </w:rPr>
        <w:t>中</w:t>
      </w:r>
      <w:r w:rsidR="00716C31" w:rsidRPr="00924BB8">
        <w:rPr>
          <w:rFonts w:ascii="仿宋" w:hAnsi="仿宋"/>
          <w:color w:val="000000"/>
          <w:szCs w:val="32"/>
        </w:rPr>
        <w:t>29</w:t>
      </w:r>
      <w:r w:rsidR="00716C31">
        <w:rPr>
          <w:rFonts w:ascii="仿宋" w:hAnsi="仿宋"/>
          <w:color w:val="000000"/>
          <w:szCs w:val="32"/>
        </w:rPr>
        <w:t>家</w:t>
      </w:r>
      <w:r w:rsidR="00716C31" w:rsidRPr="00924BB8">
        <w:rPr>
          <w:rFonts w:ascii="仿宋" w:hAnsi="仿宋"/>
          <w:color w:val="000000"/>
          <w:szCs w:val="32"/>
        </w:rPr>
        <w:t>为有限责任公司</w:t>
      </w:r>
      <w:r w:rsidR="00716C31">
        <w:rPr>
          <w:rFonts w:ascii="仿宋" w:hAnsi="仿宋" w:hint="eastAsia"/>
          <w:color w:val="000000"/>
          <w:szCs w:val="32"/>
        </w:rPr>
        <w:t>，</w:t>
      </w:r>
      <w:r w:rsidR="00716C31">
        <w:rPr>
          <w:rFonts w:ascii="仿宋" w:hAnsi="仿宋"/>
          <w:color w:val="000000"/>
          <w:szCs w:val="32"/>
        </w:rPr>
        <w:t>另</w:t>
      </w:r>
      <w:r w:rsidRPr="00924BB8">
        <w:rPr>
          <w:rFonts w:ascii="仿宋" w:hAnsi="仿宋"/>
          <w:color w:val="000000"/>
          <w:szCs w:val="32"/>
        </w:rPr>
        <w:t>1家</w:t>
      </w:r>
      <w:r w:rsidR="00716C31">
        <w:rPr>
          <w:rFonts w:ascii="仿宋" w:hAnsi="仿宋"/>
          <w:color w:val="000000"/>
          <w:szCs w:val="32"/>
        </w:rPr>
        <w:t>为</w:t>
      </w:r>
      <w:r w:rsidRPr="00924BB8">
        <w:rPr>
          <w:rFonts w:ascii="仿宋" w:hAnsi="仿宋"/>
          <w:color w:val="000000"/>
          <w:szCs w:val="32"/>
        </w:rPr>
        <w:t>普通合伙。</w:t>
      </w:r>
    </w:p>
    <w:p w14:paraId="219C6F6D" w14:textId="272ED487" w:rsidR="00EB2411" w:rsidRPr="00924BB8" w:rsidRDefault="00EB2411" w:rsidP="00C7689C">
      <w:pPr>
        <w:spacing w:line="560" w:lineRule="exact"/>
        <w:ind w:firstLineChars="201" w:firstLine="643"/>
        <w:rPr>
          <w:rFonts w:ascii="仿宋" w:hAnsi="仿宋"/>
          <w:color w:val="000000"/>
          <w:szCs w:val="32"/>
        </w:rPr>
      </w:pPr>
      <w:r w:rsidRPr="00924BB8">
        <w:rPr>
          <w:rFonts w:ascii="仿宋" w:hAnsi="仿宋"/>
          <w:color w:val="000000"/>
          <w:szCs w:val="32"/>
        </w:rPr>
        <w:t>2.评估师人数情况</w:t>
      </w:r>
    </w:p>
    <w:p w14:paraId="4CACAF19" w14:textId="0D2615D2" w:rsidR="005857A3" w:rsidRDefault="005857A3" w:rsidP="00C7689C">
      <w:pPr>
        <w:spacing w:line="560" w:lineRule="exact"/>
        <w:ind w:firstLineChars="201" w:firstLine="643"/>
        <w:rPr>
          <w:rFonts w:ascii="仿宋" w:hAnsi="仿宋"/>
          <w:color w:val="000000"/>
          <w:szCs w:val="32"/>
        </w:rPr>
      </w:pPr>
      <w:r w:rsidRPr="00924BB8">
        <w:rPr>
          <w:rFonts w:ascii="仿宋" w:hAnsi="仿宋"/>
          <w:color w:val="000000"/>
          <w:szCs w:val="32"/>
        </w:rPr>
        <w:t>从</w:t>
      </w:r>
      <w:r w:rsidR="00F131DC" w:rsidRPr="00B32101">
        <w:rPr>
          <w:rFonts w:ascii="仿宋" w:hAnsi="仿宋" w:hint="eastAsia"/>
          <w:color w:val="000000"/>
          <w:szCs w:val="32"/>
        </w:rPr>
        <w:t>被检查资产评估机构</w:t>
      </w:r>
      <w:r w:rsidRPr="00924BB8">
        <w:rPr>
          <w:rFonts w:ascii="仿宋" w:hAnsi="仿宋"/>
          <w:color w:val="000000"/>
          <w:szCs w:val="32"/>
        </w:rPr>
        <w:t>资产评估师人数看，8人（不含）以下的9家，占被查机构30%（</w:t>
      </w:r>
      <w:r w:rsidRPr="00924BB8">
        <w:rPr>
          <w:rFonts w:ascii="仿宋" w:hAnsi="仿宋" w:hint="eastAsia"/>
          <w:color w:val="000000"/>
          <w:szCs w:val="32"/>
        </w:rPr>
        <w:t>见</w:t>
      </w:r>
      <w:r w:rsidRPr="00924BB8">
        <w:rPr>
          <w:rFonts w:ascii="仿宋" w:hAnsi="仿宋"/>
          <w:color w:val="000000"/>
          <w:szCs w:val="32"/>
        </w:rPr>
        <w:t>表2）；8-15</w:t>
      </w:r>
      <w:r w:rsidRPr="00924BB8">
        <w:rPr>
          <w:rFonts w:ascii="仿宋" w:hAnsi="仿宋" w:hint="eastAsia"/>
          <w:color w:val="000000"/>
          <w:szCs w:val="32"/>
        </w:rPr>
        <w:t>名</w:t>
      </w:r>
      <w:r w:rsidR="00D46CED" w:rsidRPr="00924BB8">
        <w:rPr>
          <w:rFonts w:ascii="仿宋" w:hAnsi="仿宋" w:hint="eastAsia"/>
          <w:color w:val="000000"/>
          <w:szCs w:val="32"/>
        </w:rPr>
        <w:t>（不含）</w:t>
      </w:r>
      <w:r w:rsidRPr="00924BB8">
        <w:rPr>
          <w:rFonts w:ascii="仿宋" w:hAnsi="仿宋"/>
          <w:color w:val="000000"/>
          <w:szCs w:val="32"/>
        </w:rPr>
        <w:t>19家，占被查</w:t>
      </w:r>
      <w:r w:rsidRPr="00924BB8">
        <w:rPr>
          <w:rFonts w:ascii="仿宋" w:hAnsi="仿宋" w:hint="eastAsia"/>
          <w:color w:val="000000"/>
          <w:szCs w:val="32"/>
        </w:rPr>
        <w:t>机构</w:t>
      </w:r>
      <w:r w:rsidRPr="00924BB8">
        <w:rPr>
          <w:rFonts w:ascii="仿宋" w:hAnsi="仿宋"/>
          <w:color w:val="000000"/>
          <w:szCs w:val="32"/>
        </w:rPr>
        <w:t>63.30%</w:t>
      </w:r>
      <w:r w:rsidRPr="00924BB8">
        <w:rPr>
          <w:rFonts w:ascii="仿宋" w:hAnsi="仿宋" w:hint="eastAsia"/>
          <w:color w:val="000000"/>
          <w:szCs w:val="32"/>
        </w:rPr>
        <w:t>；</w:t>
      </w:r>
      <w:r w:rsidRPr="00924BB8">
        <w:rPr>
          <w:rFonts w:ascii="仿宋" w:hAnsi="仿宋"/>
          <w:color w:val="000000"/>
          <w:szCs w:val="32"/>
        </w:rPr>
        <w:t>15名以上的2家，占</w:t>
      </w:r>
      <w:r w:rsidRPr="00924BB8">
        <w:rPr>
          <w:rFonts w:ascii="仿宋" w:hAnsi="仿宋" w:hint="eastAsia"/>
          <w:color w:val="000000"/>
          <w:szCs w:val="32"/>
        </w:rPr>
        <w:t>被</w:t>
      </w:r>
      <w:r w:rsidRPr="00924BB8">
        <w:rPr>
          <w:rFonts w:ascii="仿宋" w:hAnsi="仿宋"/>
          <w:color w:val="000000"/>
          <w:szCs w:val="32"/>
        </w:rPr>
        <w:t>查机构6.70%</w:t>
      </w:r>
      <w:r w:rsidRPr="00924BB8">
        <w:rPr>
          <w:rFonts w:ascii="仿宋" w:hAnsi="仿宋" w:hint="eastAsia"/>
          <w:color w:val="000000"/>
          <w:szCs w:val="32"/>
        </w:rPr>
        <w:t>。</w:t>
      </w:r>
    </w:p>
    <w:p w14:paraId="17C63571" w14:textId="23C2EF98" w:rsidR="005857A3" w:rsidRDefault="005857A3" w:rsidP="00C7689C">
      <w:pPr>
        <w:widowControl/>
        <w:spacing w:line="560" w:lineRule="exact"/>
        <w:jc w:val="center"/>
        <w:rPr>
          <w:rFonts w:ascii="仿宋" w:hAnsi="仿宋"/>
          <w:szCs w:val="32"/>
        </w:rPr>
      </w:pPr>
      <w:r w:rsidRPr="005857A3">
        <w:rPr>
          <w:rFonts w:ascii="仿宋" w:hAnsi="仿宋" w:hint="eastAsia"/>
          <w:szCs w:val="32"/>
        </w:rPr>
        <w:t>表</w:t>
      </w:r>
      <w:r w:rsidR="003519ED">
        <w:rPr>
          <w:rFonts w:ascii="仿宋" w:hAnsi="仿宋"/>
          <w:szCs w:val="32"/>
        </w:rPr>
        <w:t>2</w:t>
      </w:r>
      <w:r w:rsidRPr="005857A3">
        <w:rPr>
          <w:rFonts w:ascii="仿宋" w:hAnsi="仿宋" w:hint="eastAsia"/>
          <w:szCs w:val="32"/>
        </w:rPr>
        <w:t xml:space="preserve">  </w:t>
      </w:r>
      <w:r w:rsidR="00F131DC" w:rsidRPr="00B32101">
        <w:rPr>
          <w:rFonts w:ascii="仿宋" w:hAnsi="仿宋" w:hint="eastAsia"/>
          <w:color w:val="000000"/>
          <w:szCs w:val="32"/>
        </w:rPr>
        <w:t>被检查资产评估机构</w:t>
      </w:r>
      <w:r w:rsidRPr="005857A3">
        <w:rPr>
          <w:rFonts w:ascii="仿宋" w:hAnsi="仿宋"/>
          <w:szCs w:val="32"/>
        </w:rPr>
        <w:t>资产评估师情况</w:t>
      </w:r>
      <w:r w:rsidRPr="005857A3">
        <w:rPr>
          <w:rFonts w:ascii="仿宋" w:hAnsi="仿宋" w:hint="eastAsia"/>
          <w:szCs w:val="32"/>
        </w:rPr>
        <w:t>统计</w:t>
      </w:r>
    </w:p>
    <w:p w14:paraId="0CDEBBE2" w14:textId="167E4D59" w:rsidR="00F653D2" w:rsidRPr="005857A3" w:rsidRDefault="00F653D2" w:rsidP="00CF4356">
      <w:pPr>
        <w:widowControl/>
        <w:spacing w:line="560" w:lineRule="exact"/>
        <w:ind w:firstLineChars="200" w:firstLine="640"/>
        <w:jc w:val="center"/>
        <w:rPr>
          <w:rFonts w:ascii="仿宋" w:hAnsi="仿宋"/>
          <w:szCs w:val="32"/>
        </w:rPr>
      </w:pPr>
    </w:p>
    <w:p w14:paraId="0AE3F410" w14:textId="7A3473BD" w:rsidR="00F653D2" w:rsidRDefault="00F653D2" w:rsidP="00924BB8">
      <w:pPr>
        <w:ind w:firstLineChars="201" w:firstLine="643"/>
        <w:rPr>
          <w:rFonts w:ascii="仿宋" w:hAnsi="仿宋"/>
          <w:color w:val="000000"/>
          <w:szCs w:val="32"/>
        </w:rPr>
      </w:pPr>
      <w:r w:rsidRPr="00EC7A5D">
        <w:rPr>
          <w:rFonts w:ascii="Times New Roman" w:hAnsi="Times New Roman"/>
          <w:noProof/>
        </w:rPr>
        <w:drawing>
          <wp:inline distT="0" distB="0" distL="0" distR="0" wp14:anchorId="49490FF9" wp14:editId="12F6961B">
            <wp:extent cx="4631635" cy="2454965"/>
            <wp:effectExtent l="0" t="0" r="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827DFA" w14:textId="30B0D5FA" w:rsidR="00EB2411" w:rsidRPr="00924BB8" w:rsidRDefault="00EB2411" w:rsidP="00C7689C">
      <w:pPr>
        <w:spacing w:line="560" w:lineRule="exact"/>
        <w:ind w:firstLineChars="201" w:firstLine="643"/>
        <w:rPr>
          <w:rFonts w:ascii="仿宋" w:hAnsi="仿宋"/>
          <w:color w:val="000000"/>
          <w:szCs w:val="32"/>
        </w:rPr>
      </w:pPr>
      <w:r w:rsidRPr="00924BB8">
        <w:rPr>
          <w:rFonts w:ascii="仿宋" w:hAnsi="仿宋"/>
          <w:color w:val="000000"/>
          <w:szCs w:val="32"/>
        </w:rPr>
        <w:t>3.业务收入情况</w:t>
      </w:r>
    </w:p>
    <w:p w14:paraId="45FB79E1" w14:textId="011C244D" w:rsidR="00D04ABB" w:rsidRPr="00924BB8" w:rsidRDefault="00D04ABB" w:rsidP="00C7689C">
      <w:pPr>
        <w:spacing w:line="560" w:lineRule="exact"/>
        <w:ind w:firstLineChars="201" w:firstLine="643"/>
        <w:rPr>
          <w:rFonts w:ascii="仿宋" w:hAnsi="仿宋"/>
          <w:color w:val="000000"/>
          <w:szCs w:val="32"/>
        </w:rPr>
      </w:pPr>
      <w:r w:rsidRPr="00924BB8">
        <w:rPr>
          <w:rFonts w:ascii="仿宋" w:hAnsi="仿宋"/>
          <w:color w:val="000000"/>
          <w:szCs w:val="32"/>
        </w:rPr>
        <w:t>30家</w:t>
      </w:r>
      <w:r w:rsidR="00F131DC" w:rsidRPr="00B32101">
        <w:rPr>
          <w:rFonts w:ascii="仿宋" w:hAnsi="仿宋" w:hint="eastAsia"/>
          <w:color w:val="000000"/>
          <w:szCs w:val="32"/>
        </w:rPr>
        <w:t>被检查资产评估机构</w:t>
      </w:r>
      <w:r w:rsidRPr="00924BB8">
        <w:rPr>
          <w:rFonts w:ascii="仿宋" w:hAnsi="仿宋"/>
          <w:color w:val="000000"/>
          <w:szCs w:val="32"/>
        </w:rPr>
        <w:t>2019年及2020年1-6</w:t>
      </w:r>
      <w:r w:rsidRPr="00924BB8">
        <w:rPr>
          <w:rFonts w:ascii="仿宋" w:hAnsi="仿宋" w:hint="eastAsia"/>
          <w:color w:val="000000"/>
          <w:szCs w:val="32"/>
        </w:rPr>
        <w:t>月</w:t>
      </w:r>
      <w:r w:rsidRPr="00924BB8">
        <w:rPr>
          <w:rFonts w:ascii="仿宋" w:hAnsi="仿宋"/>
          <w:color w:val="000000"/>
          <w:szCs w:val="32"/>
        </w:rPr>
        <w:t>营业</w:t>
      </w:r>
      <w:r w:rsidRPr="00924BB8">
        <w:rPr>
          <w:rFonts w:ascii="仿宋" w:hAnsi="仿宋"/>
          <w:color w:val="000000"/>
          <w:szCs w:val="32"/>
        </w:rPr>
        <w:lastRenderedPageBreak/>
        <w:t>收入合计33,880.94万元。其中</w:t>
      </w:r>
      <w:r w:rsidRPr="00924BB8">
        <w:rPr>
          <w:rFonts w:ascii="仿宋" w:hAnsi="仿宋" w:hint="eastAsia"/>
          <w:color w:val="000000"/>
          <w:szCs w:val="32"/>
        </w:rPr>
        <w:t>收入</w:t>
      </w:r>
      <w:r w:rsidRPr="00924BB8">
        <w:rPr>
          <w:rFonts w:ascii="仿宋" w:hAnsi="仿宋"/>
          <w:color w:val="000000"/>
          <w:szCs w:val="32"/>
        </w:rPr>
        <w:t>100万以下6家，占被查机构的20%；收入100-500</w:t>
      </w:r>
      <w:r w:rsidRPr="00924BB8">
        <w:rPr>
          <w:rFonts w:ascii="仿宋" w:hAnsi="仿宋" w:hint="eastAsia"/>
          <w:color w:val="000000"/>
          <w:szCs w:val="32"/>
        </w:rPr>
        <w:t>万</w:t>
      </w:r>
      <w:r w:rsidRPr="00924BB8">
        <w:rPr>
          <w:rFonts w:ascii="仿宋" w:hAnsi="仿宋"/>
          <w:color w:val="000000"/>
          <w:szCs w:val="32"/>
        </w:rPr>
        <w:t>9</w:t>
      </w:r>
      <w:r w:rsidRPr="00924BB8">
        <w:rPr>
          <w:rFonts w:ascii="仿宋" w:hAnsi="仿宋" w:hint="eastAsia"/>
          <w:color w:val="000000"/>
          <w:szCs w:val="32"/>
        </w:rPr>
        <w:t>家</w:t>
      </w:r>
      <w:r w:rsidRPr="00924BB8">
        <w:rPr>
          <w:rFonts w:ascii="仿宋" w:hAnsi="仿宋"/>
          <w:color w:val="000000"/>
          <w:szCs w:val="32"/>
        </w:rPr>
        <w:t>，占被查机构30%；收入500-1000</w:t>
      </w:r>
      <w:r w:rsidRPr="00924BB8">
        <w:rPr>
          <w:rFonts w:ascii="仿宋" w:hAnsi="仿宋" w:hint="eastAsia"/>
          <w:color w:val="000000"/>
          <w:szCs w:val="32"/>
        </w:rPr>
        <w:t>万</w:t>
      </w:r>
      <w:r w:rsidRPr="00924BB8">
        <w:rPr>
          <w:rFonts w:ascii="仿宋" w:hAnsi="仿宋"/>
          <w:color w:val="000000"/>
          <w:szCs w:val="32"/>
        </w:rPr>
        <w:t>的4家，占被查机构13.30%；收入1000万以上8家，占比26.70%（</w:t>
      </w:r>
      <w:r w:rsidRPr="00924BB8">
        <w:rPr>
          <w:rFonts w:ascii="仿宋" w:hAnsi="仿宋" w:hint="eastAsia"/>
          <w:color w:val="000000"/>
          <w:szCs w:val="32"/>
        </w:rPr>
        <w:t>其中</w:t>
      </w:r>
      <w:r w:rsidRPr="00924BB8">
        <w:rPr>
          <w:rFonts w:ascii="仿宋" w:hAnsi="仿宋"/>
          <w:color w:val="000000"/>
          <w:szCs w:val="32"/>
        </w:rPr>
        <w:t>1家机构</w:t>
      </w:r>
      <w:r w:rsidRPr="00924BB8">
        <w:rPr>
          <w:rFonts w:ascii="仿宋" w:hAnsi="仿宋" w:hint="eastAsia"/>
          <w:color w:val="000000"/>
          <w:szCs w:val="32"/>
        </w:rPr>
        <w:t>收入</w:t>
      </w:r>
      <w:r w:rsidRPr="00924BB8">
        <w:rPr>
          <w:rFonts w:ascii="仿宋" w:hAnsi="仿宋"/>
          <w:color w:val="000000"/>
          <w:szCs w:val="32"/>
        </w:rPr>
        <w:t>在</w:t>
      </w:r>
      <w:r w:rsidR="00C75E9B">
        <w:rPr>
          <w:rFonts w:ascii="仿宋" w:hAnsi="仿宋" w:hint="eastAsia"/>
          <w:color w:val="000000"/>
          <w:szCs w:val="32"/>
        </w:rPr>
        <w:t>1</w:t>
      </w:r>
      <w:r w:rsidRPr="00924BB8">
        <w:rPr>
          <w:rFonts w:ascii="仿宋" w:hAnsi="仿宋"/>
          <w:color w:val="000000"/>
          <w:szCs w:val="32"/>
        </w:rPr>
        <w:t>亿元以上）</w:t>
      </w:r>
      <w:r w:rsidRPr="00924BB8">
        <w:rPr>
          <w:rFonts w:ascii="仿宋" w:hAnsi="仿宋" w:hint="eastAsia"/>
          <w:color w:val="000000"/>
          <w:szCs w:val="32"/>
        </w:rPr>
        <w:t>。</w:t>
      </w:r>
      <w:r w:rsidRPr="00924BB8">
        <w:rPr>
          <w:rFonts w:ascii="仿宋" w:hAnsi="仿宋"/>
          <w:color w:val="000000"/>
          <w:szCs w:val="32"/>
        </w:rPr>
        <w:t>另</w:t>
      </w:r>
      <w:r w:rsidRPr="00924BB8">
        <w:rPr>
          <w:rFonts w:ascii="仿宋" w:hAnsi="仿宋" w:hint="eastAsia"/>
          <w:color w:val="000000"/>
          <w:szCs w:val="32"/>
        </w:rPr>
        <w:t>有</w:t>
      </w:r>
      <w:r w:rsidRPr="00924BB8">
        <w:rPr>
          <w:rFonts w:ascii="仿宋" w:hAnsi="仿宋"/>
          <w:color w:val="000000"/>
          <w:szCs w:val="32"/>
        </w:rPr>
        <w:t>3家新成立机构收入为</w:t>
      </w:r>
      <w:r w:rsidRPr="00924BB8">
        <w:rPr>
          <w:rFonts w:ascii="仿宋" w:hAnsi="仿宋" w:hint="eastAsia"/>
          <w:color w:val="000000"/>
          <w:szCs w:val="32"/>
        </w:rPr>
        <w:t>零</w:t>
      </w:r>
      <w:r w:rsidRPr="00924BB8">
        <w:rPr>
          <w:rFonts w:ascii="仿宋" w:hAnsi="仿宋"/>
          <w:color w:val="000000"/>
          <w:szCs w:val="32"/>
        </w:rPr>
        <w:t>。</w:t>
      </w:r>
    </w:p>
    <w:p w14:paraId="75B24FC1" w14:textId="5961908F" w:rsidR="00715F4C" w:rsidRDefault="00C7689C" w:rsidP="00C7689C">
      <w:pPr>
        <w:spacing w:line="560" w:lineRule="exact"/>
        <w:jc w:val="center"/>
        <w:rPr>
          <w:rFonts w:ascii="仿宋" w:hAnsi="仿宋"/>
          <w:color w:val="000000"/>
          <w:szCs w:val="32"/>
        </w:rPr>
      </w:pPr>
      <w:r>
        <w:rPr>
          <w:noProof/>
        </w:rPr>
        <w:drawing>
          <wp:anchor distT="0" distB="0" distL="114300" distR="114300" simplePos="0" relativeHeight="251658240" behindDoc="0" locked="0" layoutInCell="1" allowOverlap="1" wp14:anchorId="7DEC137E" wp14:editId="45FA052B">
            <wp:simplePos x="0" y="0"/>
            <wp:positionH relativeFrom="column">
              <wp:posOffset>304800</wp:posOffset>
            </wp:positionH>
            <wp:positionV relativeFrom="paragraph">
              <wp:posOffset>450850</wp:posOffset>
            </wp:positionV>
            <wp:extent cx="4534535" cy="2549525"/>
            <wp:effectExtent l="0" t="0" r="0" b="317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04ABB" w:rsidRPr="002A593D">
        <w:rPr>
          <w:rFonts w:ascii="仿宋" w:hAnsi="仿宋" w:hint="eastAsia"/>
          <w:szCs w:val="32"/>
        </w:rPr>
        <w:t>表</w:t>
      </w:r>
      <w:r w:rsidR="003519ED">
        <w:rPr>
          <w:rFonts w:ascii="仿宋" w:hAnsi="仿宋"/>
          <w:szCs w:val="32"/>
        </w:rPr>
        <w:t>3</w:t>
      </w:r>
      <w:r w:rsidR="00D04ABB" w:rsidRPr="002A593D">
        <w:rPr>
          <w:rFonts w:ascii="仿宋" w:hAnsi="仿宋" w:hint="eastAsia"/>
          <w:szCs w:val="32"/>
        </w:rPr>
        <w:t xml:space="preserve">  </w:t>
      </w:r>
      <w:r w:rsidR="00F131DC" w:rsidRPr="00B32101">
        <w:rPr>
          <w:rFonts w:ascii="仿宋" w:hAnsi="仿宋" w:hint="eastAsia"/>
          <w:color w:val="000000"/>
          <w:szCs w:val="32"/>
        </w:rPr>
        <w:t>被检查资产评估机构</w:t>
      </w:r>
      <w:r w:rsidR="00D04ABB" w:rsidRPr="002A593D">
        <w:rPr>
          <w:rFonts w:ascii="仿宋" w:hAnsi="仿宋"/>
          <w:szCs w:val="32"/>
        </w:rPr>
        <w:t>营业收入</w:t>
      </w:r>
      <w:r w:rsidR="00D04ABB" w:rsidRPr="002A593D">
        <w:rPr>
          <w:rFonts w:ascii="仿宋" w:hAnsi="仿宋" w:hint="eastAsia"/>
          <w:szCs w:val="32"/>
        </w:rPr>
        <w:t>统计</w:t>
      </w:r>
      <w:r w:rsidR="00D04ABB" w:rsidRPr="002A593D">
        <w:rPr>
          <w:rFonts w:ascii="仿宋" w:hAnsi="仿宋"/>
          <w:szCs w:val="32"/>
        </w:rPr>
        <w:t>表</w:t>
      </w:r>
    </w:p>
    <w:p w14:paraId="1BA07671" w14:textId="5F4E495E" w:rsidR="00FB0763" w:rsidRPr="00924BB8" w:rsidRDefault="00FB0763" w:rsidP="00C7689C">
      <w:pPr>
        <w:spacing w:line="560" w:lineRule="exact"/>
        <w:ind w:firstLineChars="201" w:firstLine="643"/>
        <w:rPr>
          <w:rFonts w:ascii="仿宋" w:hAnsi="仿宋"/>
          <w:color w:val="000000"/>
          <w:szCs w:val="32"/>
        </w:rPr>
      </w:pPr>
      <w:r w:rsidRPr="00924BB8">
        <w:rPr>
          <w:rFonts w:ascii="仿宋" w:hAnsi="仿宋"/>
          <w:color w:val="000000"/>
          <w:szCs w:val="32"/>
        </w:rPr>
        <w:t>4.</w:t>
      </w:r>
      <w:r w:rsidR="000E7492" w:rsidRPr="00924BB8">
        <w:rPr>
          <w:rFonts w:ascii="仿宋" w:hAnsi="仿宋"/>
          <w:color w:val="000000"/>
          <w:szCs w:val="32"/>
        </w:rPr>
        <w:t>其他</w:t>
      </w:r>
    </w:p>
    <w:p w14:paraId="1C4F31D7" w14:textId="35886CE9" w:rsidR="009329B0" w:rsidRDefault="009329B0" w:rsidP="00C7689C">
      <w:pPr>
        <w:spacing w:line="560" w:lineRule="exact"/>
        <w:ind w:firstLineChars="201" w:firstLine="643"/>
        <w:rPr>
          <w:rFonts w:ascii="仿宋" w:hAnsi="仿宋"/>
          <w:color w:val="000000"/>
          <w:szCs w:val="32"/>
        </w:rPr>
      </w:pPr>
      <w:r w:rsidRPr="00924BB8">
        <w:rPr>
          <w:rFonts w:ascii="仿宋" w:hAnsi="仿宋"/>
          <w:color w:val="000000"/>
          <w:szCs w:val="32"/>
        </w:rPr>
        <w:t>10年以上资产评估机构15</w:t>
      </w:r>
      <w:r w:rsidR="00F60541" w:rsidRPr="00924BB8">
        <w:rPr>
          <w:rFonts w:ascii="仿宋" w:hAnsi="仿宋"/>
          <w:color w:val="000000"/>
          <w:szCs w:val="32"/>
        </w:rPr>
        <w:t>家</w:t>
      </w:r>
      <w:r w:rsidRPr="00924BB8">
        <w:rPr>
          <w:rFonts w:ascii="仿宋" w:hAnsi="仿宋"/>
          <w:color w:val="000000"/>
          <w:szCs w:val="32"/>
        </w:rPr>
        <w:t>，占全部被查机构的50.00%；</w:t>
      </w:r>
      <w:r w:rsidRPr="00924BB8">
        <w:rPr>
          <w:rFonts w:ascii="仿宋" w:hAnsi="仿宋" w:hint="eastAsia"/>
          <w:color w:val="000000"/>
          <w:szCs w:val="32"/>
        </w:rPr>
        <w:t>具有资产评估资质的房地产土地机构</w:t>
      </w:r>
      <w:r w:rsidRPr="00924BB8">
        <w:rPr>
          <w:rFonts w:ascii="仿宋" w:hAnsi="仿宋"/>
          <w:color w:val="000000"/>
          <w:szCs w:val="32"/>
        </w:rPr>
        <w:t>为7家，占全部被查机构的23.33%。</w:t>
      </w:r>
    </w:p>
    <w:p w14:paraId="16FAB978" w14:textId="444F2510" w:rsidR="00715F4C" w:rsidRDefault="00715F4C" w:rsidP="00924BB8">
      <w:pPr>
        <w:ind w:firstLineChars="201" w:firstLine="643"/>
        <w:rPr>
          <w:rFonts w:ascii="仿宋" w:hAnsi="仿宋"/>
          <w:color w:val="000000"/>
          <w:szCs w:val="32"/>
        </w:rPr>
      </w:pPr>
      <w:r w:rsidRPr="0047650E">
        <w:rPr>
          <w:rFonts w:ascii="Times New Roman" w:hAnsi="Times New Roman"/>
          <w:noProof/>
        </w:rPr>
        <w:drawing>
          <wp:inline distT="0" distB="0" distL="0" distR="0" wp14:anchorId="2B4DAD22" wp14:editId="5DF7AE6B">
            <wp:extent cx="4273826" cy="2405269"/>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2294A4" w14:textId="77777777" w:rsidR="005857A3" w:rsidRPr="00924BB8" w:rsidRDefault="00D31C64" w:rsidP="00C7689C">
      <w:pPr>
        <w:pStyle w:val="a8"/>
        <w:widowControl/>
        <w:numPr>
          <w:ilvl w:val="0"/>
          <w:numId w:val="8"/>
        </w:numPr>
        <w:spacing w:line="560" w:lineRule="exact"/>
        <w:ind w:firstLineChars="0"/>
        <w:rPr>
          <w:rFonts w:ascii="楷体" w:eastAsia="楷体" w:hAnsi="楷体"/>
          <w:color w:val="000000"/>
          <w:szCs w:val="32"/>
        </w:rPr>
      </w:pPr>
      <w:r w:rsidRPr="00924BB8">
        <w:rPr>
          <w:rFonts w:ascii="楷体" w:eastAsia="楷体" w:hAnsi="楷体" w:hint="eastAsia"/>
          <w:color w:val="000000"/>
          <w:szCs w:val="32"/>
        </w:rPr>
        <w:lastRenderedPageBreak/>
        <w:t>报告情况</w:t>
      </w:r>
    </w:p>
    <w:p w14:paraId="0F3959EE" w14:textId="5357E05A" w:rsidR="00565D49" w:rsidRPr="00924BB8" w:rsidRDefault="00565D49" w:rsidP="00C7689C">
      <w:pPr>
        <w:spacing w:line="560" w:lineRule="exact"/>
        <w:ind w:firstLineChars="201" w:firstLine="643"/>
        <w:rPr>
          <w:rFonts w:ascii="仿宋" w:hAnsi="仿宋"/>
          <w:color w:val="000000"/>
          <w:szCs w:val="32"/>
        </w:rPr>
      </w:pPr>
      <w:r w:rsidRPr="00924BB8">
        <w:rPr>
          <w:rFonts w:ascii="仿宋" w:hAnsi="仿宋"/>
          <w:color w:val="000000"/>
          <w:szCs w:val="32"/>
        </w:rPr>
        <w:t>1.基本情况</w:t>
      </w:r>
    </w:p>
    <w:p w14:paraId="3D81A8FE" w14:textId="61CC364E" w:rsidR="00F40B4C" w:rsidRPr="00924BB8" w:rsidRDefault="007538F2"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本次检查对单项资产、企业价值、无形资产三类主要评估业务从评估工作底稿和资产评估报告两个方面的规范性、</w:t>
      </w:r>
      <w:r w:rsidR="002816E2" w:rsidRPr="00924BB8">
        <w:rPr>
          <w:rFonts w:ascii="仿宋" w:hAnsi="仿宋" w:hint="eastAsia"/>
          <w:color w:val="000000"/>
          <w:szCs w:val="32"/>
        </w:rPr>
        <w:t>完备性进行检查，</w:t>
      </w:r>
      <w:r w:rsidR="00E32E1F" w:rsidRPr="00924BB8">
        <w:rPr>
          <w:rFonts w:ascii="仿宋" w:hAnsi="仿宋" w:hint="eastAsia"/>
          <w:color w:val="000000"/>
          <w:szCs w:val="32"/>
        </w:rPr>
        <w:t>共</w:t>
      </w:r>
      <w:r w:rsidR="00F40B4C" w:rsidRPr="00924BB8">
        <w:rPr>
          <w:rFonts w:ascii="仿宋" w:hAnsi="仿宋"/>
          <w:color w:val="000000"/>
          <w:szCs w:val="32"/>
        </w:rPr>
        <w:t>抽取</w:t>
      </w:r>
      <w:r w:rsidR="00420400" w:rsidRPr="00924BB8">
        <w:rPr>
          <w:rFonts w:ascii="仿宋" w:hAnsi="仿宋" w:hint="eastAsia"/>
          <w:color w:val="000000"/>
          <w:szCs w:val="32"/>
        </w:rPr>
        <w:t>了</w:t>
      </w:r>
      <w:r w:rsidR="00F40B4C" w:rsidRPr="00924BB8">
        <w:rPr>
          <w:rFonts w:ascii="仿宋" w:hAnsi="仿宋"/>
          <w:color w:val="000000"/>
          <w:szCs w:val="32"/>
        </w:rPr>
        <w:t>30家评估机构的90份资产评估报告进行重点</w:t>
      </w:r>
      <w:r w:rsidR="00F40B4C" w:rsidRPr="00924BB8">
        <w:rPr>
          <w:rFonts w:ascii="仿宋" w:hAnsi="仿宋" w:hint="eastAsia"/>
          <w:color w:val="000000"/>
          <w:szCs w:val="32"/>
        </w:rPr>
        <w:t>检查。</w:t>
      </w:r>
    </w:p>
    <w:p w14:paraId="03E6B943" w14:textId="02E049E6" w:rsidR="00F40B4C" w:rsidRPr="002A593D" w:rsidRDefault="00F40B4C" w:rsidP="00C7689C">
      <w:pPr>
        <w:spacing w:line="560" w:lineRule="exact"/>
        <w:ind w:firstLineChars="201" w:firstLine="643"/>
        <w:jc w:val="center"/>
        <w:rPr>
          <w:rFonts w:ascii="仿宋" w:hAnsi="仿宋"/>
          <w:szCs w:val="32"/>
        </w:rPr>
      </w:pPr>
      <w:r w:rsidRPr="002A593D">
        <w:rPr>
          <w:rFonts w:ascii="仿宋" w:hAnsi="仿宋"/>
          <w:szCs w:val="32"/>
        </w:rPr>
        <w:t>表</w:t>
      </w:r>
      <w:r w:rsidR="003519ED">
        <w:rPr>
          <w:rFonts w:ascii="仿宋" w:hAnsi="仿宋"/>
          <w:szCs w:val="32"/>
        </w:rPr>
        <w:t>4</w:t>
      </w:r>
      <w:r w:rsidRPr="002A593D">
        <w:rPr>
          <w:rFonts w:ascii="仿宋" w:hAnsi="仿宋"/>
          <w:szCs w:val="32"/>
        </w:rPr>
        <w:t xml:space="preserve"> 不同业务类型数量统计</w:t>
      </w:r>
    </w:p>
    <w:tbl>
      <w:tblPr>
        <w:tblW w:w="8296" w:type="dxa"/>
        <w:jc w:val="center"/>
        <w:tblLook w:val="04A0" w:firstRow="1" w:lastRow="0" w:firstColumn="1" w:lastColumn="0" w:noHBand="0" w:noVBand="1"/>
      </w:tblPr>
      <w:tblGrid>
        <w:gridCol w:w="1563"/>
        <w:gridCol w:w="1804"/>
        <w:gridCol w:w="1873"/>
        <w:gridCol w:w="1985"/>
        <w:gridCol w:w="1071"/>
      </w:tblGrid>
      <w:tr w:rsidR="00F40B4C" w:rsidRPr="002A593D" w14:paraId="4BBC85A5" w14:textId="77777777" w:rsidTr="00101357">
        <w:trPr>
          <w:trHeight w:val="607"/>
          <w:jc w:val="center"/>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1767F"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项目</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9E09"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单项资产</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8614"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企业价值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679B1"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无形资产</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5FA1"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合计</w:t>
            </w:r>
          </w:p>
        </w:tc>
      </w:tr>
      <w:tr w:rsidR="00F40B4C" w:rsidRPr="002A593D" w14:paraId="5E552C45" w14:textId="77777777" w:rsidTr="00101357">
        <w:trPr>
          <w:trHeight w:val="559"/>
          <w:jc w:val="center"/>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E2FC"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报告数量</w:t>
            </w:r>
          </w:p>
          <w:p w14:paraId="6B93A16E"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（份）</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4E888"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52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6EB7"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93CFE"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13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5C64D"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90</w:t>
            </w:r>
          </w:p>
        </w:tc>
      </w:tr>
      <w:tr w:rsidR="00F40B4C" w:rsidRPr="002A593D" w14:paraId="1614F82E" w14:textId="77777777" w:rsidTr="00101357">
        <w:trPr>
          <w:trHeight w:val="625"/>
          <w:jc w:val="center"/>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4B08" w14:textId="77777777" w:rsidR="00F40B4C" w:rsidRPr="00151BF9" w:rsidRDefault="00F40B4C" w:rsidP="00C7689C">
            <w:pPr>
              <w:widowControl/>
              <w:spacing w:line="560" w:lineRule="exact"/>
              <w:jc w:val="center"/>
              <w:rPr>
                <w:rFonts w:ascii="仿宋" w:hAnsi="仿宋"/>
                <w:sz w:val="24"/>
                <w:szCs w:val="24"/>
              </w:rPr>
            </w:pPr>
            <w:r w:rsidRPr="00151BF9">
              <w:rPr>
                <w:rFonts w:ascii="仿宋" w:hAnsi="仿宋" w:hint="eastAsia"/>
                <w:sz w:val="24"/>
                <w:szCs w:val="24"/>
              </w:rPr>
              <w:t>占比（%）</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B1DF7"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57.78</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5F14"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27.78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4DA5"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14.44</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8271" w14:textId="77777777" w:rsidR="00F40B4C" w:rsidRPr="00151BF9" w:rsidRDefault="00F40B4C" w:rsidP="00C7689C">
            <w:pPr>
              <w:spacing w:line="560" w:lineRule="exact"/>
              <w:jc w:val="center"/>
              <w:rPr>
                <w:rFonts w:ascii="仿宋" w:hAnsi="仿宋"/>
                <w:sz w:val="24"/>
                <w:szCs w:val="24"/>
              </w:rPr>
            </w:pPr>
            <w:r w:rsidRPr="00151BF9">
              <w:rPr>
                <w:rFonts w:ascii="仿宋" w:hAnsi="仿宋" w:hint="eastAsia"/>
                <w:sz w:val="24"/>
                <w:szCs w:val="24"/>
              </w:rPr>
              <w:t xml:space="preserve">100.00 </w:t>
            </w:r>
          </w:p>
        </w:tc>
      </w:tr>
    </w:tbl>
    <w:p w14:paraId="53739194" w14:textId="64EFDD6D" w:rsidR="005B63E4" w:rsidRPr="00924BB8" w:rsidRDefault="005B63E4" w:rsidP="00C7689C">
      <w:pPr>
        <w:spacing w:line="560" w:lineRule="exact"/>
        <w:ind w:firstLineChars="201" w:firstLine="643"/>
        <w:rPr>
          <w:rFonts w:ascii="仿宋" w:hAnsi="仿宋"/>
          <w:color w:val="000000"/>
          <w:szCs w:val="32"/>
        </w:rPr>
      </w:pPr>
      <w:r w:rsidRPr="00924BB8">
        <w:rPr>
          <w:rFonts w:ascii="仿宋" w:hAnsi="仿宋"/>
          <w:color w:val="000000"/>
          <w:szCs w:val="32"/>
        </w:rPr>
        <w:t xml:space="preserve">2. </w:t>
      </w:r>
      <w:r w:rsidR="00B143DF" w:rsidRPr="002A593D">
        <w:rPr>
          <w:rFonts w:ascii="仿宋" w:hAnsi="仿宋"/>
          <w:szCs w:val="32"/>
        </w:rPr>
        <w:t>不同业务类型</w:t>
      </w:r>
      <w:r w:rsidR="00B143DF">
        <w:rPr>
          <w:rFonts w:ascii="仿宋" w:hAnsi="仿宋" w:hint="eastAsia"/>
          <w:szCs w:val="32"/>
        </w:rPr>
        <w:t>报告</w:t>
      </w:r>
      <w:r w:rsidR="00623063">
        <w:rPr>
          <w:rFonts w:ascii="仿宋" w:hAnsi="仿宋" w:hint="eastAsia"/>
          <w:color w:val="000000"/>
          <w:szCs w:val="32"/>
        </w:rPr>
        <w:t>存在</w:t>
      </w:r>
      <w:r w:rsidR="00B143DF">
        <w:rPr>
          <w:rFonts w:ascii="仿宋" w:hAnsi="仿宋" w:hint="eastAsia"/>
          <w:color w:val="000000"/>
          <w:szCs w:val="32"/>
        </w:rPr>
        <w:t>的</w:t>
      </w:r>
      <w:r w:rsidR="00623063">
        <w:rPr>
          <w:rFonts w:ascii="仿宋" w:hAnsi="仿宋" w:hint="eastAsia"/>
          <w:color w:val="000000"/>
          <w:szCs w:val="32"/>
        </w:rPr>
        <w:t>问题</w:t>
      </w:r>
      <w:r w:rsidR="00B143DF">
        <w:rPr>
          <w:rFonts w:ascii="仿宋" w:hAnsi="仿宋" w:hint="eastAsia"/>
          <w:color w:val="000000"/>
          <w:szCs w:val="32"/>
        </w:rPr>
        <w:t>在对应</w:t>
      </w:r>
      <w:r w:rsidR="00B143DF">
        <w:rPr>
          <w:rFonts w:ascii="仿宋" w:hAnsi="仿宋"/>
          <w:color w:val="000000"/>
          <w:szCs w:val="32"/>
        </w:rPr>
        <w:t>风险关注点中的占比</w:t>
      </w:r>
    </w:p>
    <w:p w14:paraId="3FC670F6" w14:textId="77777777" w:rsidR="004417BF" w:rsidRDefault="004417BF"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根据</w:t>
      </w:r>
      <w:r w:rsidRPr="00924BB8">
        <w:rPr>
          <w:rFonts w:ascii="仿宋" w:hAnsi="仿宋"/>
          <w:color w:val="000000"/>
          <w:szCs w:val="32"/>
        </w:rPr>
        <w:t>中国资产评估协会</w:t>
      </w:r>
      <w:r w:rsidRPr="00924BB8">
        <w:rPr>
          <w:rFonts w:ascii="仿宋" w:hAnsi="仿宋" w:hint="eastAsia"/>
          <w:color w:val="000000"/>
          <w:szCs w:val="32"/>
        </w:rPr>
        <w:t>发布的检查底稿，单项资产评估业务检查内容为</w:t>
      </w:r>
      <w:r w:rsidRPr="00924BB8">
        <w:rPr>
          <w:rFonts w:ascii="仿宋" w:hAnsi="仿宋"/>
          <w:color w:val="000000"/>
          <w:szCs w:val="32"/>
        </w:rPr>
        <w:t>70项，企业价值评估业务检查内容为147项，无形资产评估业务检查内容为87项。</w:t>
      </w:r>
    </w:p>
    <w:p w14:paraId="7D179EDB" w14:textId="14B731BB" w:rsidR="004417BF" w:rsidRPr="00924BB8" w:rsidRDefault="004417BF" w:rsidP="00C7689C">
      <w:pPr>
        <w:spacing w:line="560" w:lineRule="exact"/>
        <w:ind w:firstLineChars="201" w:firstLine="643"/>
        <w:rPr>
          <w:rFonts w:ascii="仿宋" w:hAnsi="仿宋"/>
          <w:color w:val="000000"/>
          <w:szCs w:val="32"/>
        </w:rPr>
      </w:pPr>
      <w:r>
        <w:rPr>
          <w:rFonts w:ascii="仿宋" w:hAnsi="仿宋" w:hint="eastAsia"/>
          <w:color w:val="000000"/>
          <w:szCs w:val="32"/>
        </w:rPr>
        <w:t>检查</w:t>
      </w:r>
      <w:r>
        <w:rPr>
          <w:rFonts w:ascii="仿宋" w:hAnsi="仿宋"/>
          <w:color w:val="000000"/>
          <w:szCs w:val="32"/>
        </w:rPr>
        <w:t>发现</w:t>
      </w:r>
      <w:r w:rsidR="005B63E4" w:rsidRPr="00924BB8">
        <w:rPr>
          <w:rFonts w:ascii="仿宋" w:hAnsi="仿宋" w:hint="eastAsia"/>
          <w:color w:val="000000"/>
          <w:szCs w:val="32"/>
        </w:rPr>
        <w:t>单项资产评估业务存在问题数量为</w:t>
      </w:r>
      <w:r w:rsidR="005B63E4" w:rsidRPr="00924BB8">
        <w:rPr>
          <w:rFonts w:ascii="仿宋" w:hAnsi="仿宋"/>
          <w:color w:val="000000"/>
          <w:szCs w:val="32"/>
        </w:rPr>
        <w:t>63项，企业价值评估业务存在问题数量为87项，无形资产评估业务存在问题数量为72项</w:t>
      </w:r>
      <w:r w:rsidR="00102E98">
        <w:rPr>
          <w:rFonts w:ascii="仿宋" w:hAnsi="仿宋" w:hint="eastAsia"/>
          <w:color w:val="000000"/>
          <w:szCs w:val="32"/>
        </w:rPr>
        <w:t>，</w:t>
      </w:r>
      <w:r>
        <w:rPr>
          <w:rFonts w:ascii="仿宋" w:hAnsi="仿宋" w:hint="eastAsia"/>
          <w:color w:val="000000"/>
          <w:szCs w:val="32"/>
        </w:rPr>
        <w:t>占</w:t>
      </w:r>
      <w:r w:rsidR="00102E98">
        <w:rPr>
          <w:rFonts w:ascii="仿宋" w:hAnsi="仿宋"/>
          <w:color w:val="000000"/>
          <w:szCs w:val="32"/>
        </w:rPr>
        <w:t>检查内容的比重</w:t>
      </w:r>
      <w:r>
        <w:rPr>
          <w:rFonts w:ascii="仿宋" w:hAnsi="仿宋"/>
          <w:color w:val="000000"/>
          <w:szCs w:val="32"/>
        </w:rPr>
        <w:t>分别为：</w:t>
      </w:r>
      <w:r w:rsidR="00102E98">
        <w:rPr>
          <w:rFonts w:ascii="仿宋" w:hAnsi="仿宋" w:hint="eastAsia"/>
          <w:color w:val="000000"/>
          <w:szCs w:val="32"/>
        </w:rPr>
        <w:t>90</w:t>
      </w:r>
      <w:r w:rsidR="00102E98" w:rsidRPr="00924BB8">
        <w:rPr>
          <w:rFonts w:ascii="仿宋" w:hAnsi="仿宋"/>
          <w:color w:val="000000"/>
          <w:szCs w:val="32"/>
        </w:rPr>
        <w:t>%</w:t>
      </w:r>
      <w:r w:rsidR="00102E98">
        <w:rPr>
          <w:rFonts w:ascii="仿宋" w:hAnsi="仿宋" w:hint="eastAsia"/>
          <w:color w:val="000000"/>
          <w:szCs w:val="32"/>
        </w:rPr>
        <w:t>、</w:t>
      </w:r>
      <w:r w:rsidR="00F1601A">
        <w:rPr>
          <w:rFonts w:ascii="仿宋" w:hAnsi="仿宋" w:hint="eastAsia"/>
          <w:color w:val="000000"/>
          <w:szCs w:val="32"/>
        </w:rPr>
        <w:t>40</w:t>
      </w:r>
      <w:r w:rsidR="00F1601A">
        <w:rPr>
          <w:rFonts w:ascii="仿宋" w:hAnsi="仿宋"/>
          <w:color w:val="000000"/>
          <w:szCs w:val="32"/>
        </w:rPr>
        <w:t>.</w:t>
      </w:r>
      <w:r w:rsidR="00102E98">
        <w:rPr>
          <w:rFonts w:ascii="仿宋" w:hAnsi="仿宋" w:hint="eastAsia"/>
          <w:color w:val="000000"/>
          <w:szCs w:val="32"/>
        </w:rPr>
        <w:t>14</w:t>
      </w:r>
      <w:r w:rsidR="00102E98" w:rsidRPr="00924BB8">
        <w:rPr>
          <w:rFonts w:ascii="仿宋" w:hAnsi="仿宋"/>
          <w:color w:val="000000"/>
          <w:szCs w:val="32"/>
        </w:rPr>
        <w:t>%</w:t>
      </w:r>
      <w:r w:rsidR="00102E98">
        <w:rPr>
          <w:rFonts w:ascii="仿宋" w:hAnsi="仿宋"/>
          <w:color w:val="000000"/>
          <w:szCs w:val="32"/>
        </w:rPr>
        <w:t>以及</w:t>
      </w:r>
      <w:r w:rsidR="00102E98">
        <w:rPr>
          <w:rFonts w:ascii="仿宋" w:hAnsi="仿宋" w:hint="eastAsia"/>
          <w:color w:val="000000"/>
          <w:szCs w:val="32"/>
        </w:rPr>
        <w:t>82.76</w:t>
      </w:r>
      <w:r w:rsidR="00102E98" w:rsidRPr="00924BB8">
        <w:rPr>
          <w:rFonts w:ascii="仿宋" w:hAnsi="仿宋"/>
          <w:color w:val="000000"/>
          <w:szCs w:val="32"/>
        </w:rPr>
        <w:t>%</w:t>
      </w:r>
      <w:r w:rsidR="00102E98">
        <w:rPr>
          <w:rFonts w:ascii="仿宋" w:hAnsi="仿宋" w:hint="eastAsia"/>
          <w:color w:val="000000"/>
          <w:szCs w:val="32"/>
        </w:rPr>
        <w:t>。</w:t>
      </w:r>
      <w:r w:rsidR="00B94F48">
        <w:rPr>
          <w:rFonts w:ascii="仿宋" w:hAnsi="仿宋"/>
          <w:color w:val="000000"/>
          <w:szCs w:val="32"/>
        </w:rPr>
        <w:t>可见</w:t>
      </w:r>
      <w:r w:rsidR="00B94F48">
        <w:rPr>
          <w:rFonts w:ascii="仿宋" w:hAnsi="仿宋" w:hint="eastAsia"/>
          <w:color w:val="000000"/>
          <w:szCs w:val="32"/>
        </w:rPr>
        <w:t>，</w:t>
      </w:r>
      <w:r w:rsidR="00B94F48" w:rsidRPr="00924BB8">
        <w:rPr>
          <w:rFonts w:ascii="仿宋" w:hAnsi="仿宋" w:hint="eastAsia"/>
          <w:color w:val="000000"/>
          <w:szCs w:val="32"/>
        </w:rPr>
        <w:t>单项资产评估业务</w:t>
      </w:r>
      <w:r w:rsidR="00B94F48">
        <w:rPr>
          <w:rFonts w:ascii="仿宋" w:hAnsi="仿宋" w:hint="eastAsia"/>
          <w:color w:val="000000"/>
          <w:szCs w:val="32"/>
        </w:rPr>
        <w:t>和</w:t>
      </w:r>
      <w:r w:rsidR="00B94F48" w:rsidRPr="00924BB8">
        <w:rPr>
          <w:rFonts w:ascii="仿宋" w:hAnsi="仿宋"/>
          <w:color w:val="000000"/>
          <w:szCs w:val="32"/>
        </w:rPr>
        <w:t>无形资产评估业务</w:t>
      </w:r>
      <w:r w:rsidR="00B94F48" w:rsidRPr="00242D9B">
        <w:rPr>
          <w:rFonts w:ascii="仿宋" w:hAnsi="仿宋"/>
          <w:color w:val="000000"/>
          <w:szCs w:val="32"/>
        </w:rPr>
        <w:t>存在问题</w:t>
      </w:r>
      <w:r w:rsidR="00F64E48">
        <w:rPr>
          <w:rFonts w:ascii="仿宋" w:hAnsi="仿宋"/>
          <w:color w:val="000000"/>
          <w:szCs w:val="32"/>
        </w:rPr>
        <w:t>涉及面更广</w:t>
      </w:r>
      <w:r w:rsidR="00F64E48">
        <w:rPr>
          <w:rFonts w:ascii="仿宋" w:hAnsi="仿宋" w:hint="eastAsia"/>
          <w:color w:val="000000"/>
          <w:szCs w:val="32"/>
        </w:rPr>
        <w:t>，</w:t>
      </w:r>
      <w:r w:rsidR="00F64E48" w:rsidRPr="00924BB8">
        <w:rPr>
          <w:rFonts w:ascii="仿宋" w:hAnsi="仿宋"/>
          <w:color w:val="000000"/>
          <w:szCs w:val="32"/>
        </w:rPr>
        <w:t>无形资产评估业务</w:t>
      </w:r>
      <w:r w:rsidR="00F64E48">
        <w:rPr>
          <w:rFonts w:ascii="仿宋" w:hAnsi="仿宋"/>
          <w:color w:val="000000"/>
          <w:szCs w:val="32"/>
        </w:rPr>
        <w:t>存在问题涉及面</w:t>
      </w:r>
      <w:r w:rsidR="00CC238E">
        <w:rPr>
          <w:rFonts w:ascii="仿宋" w:hAnsi="仿宋"/>
          <w:color w:val="000000"/>
          <w:szCs w:val="32"/>
        </w:rPr>
        <w:t>更集中</w:t>
      </w:r>
      <w:r w:rsidR="00B94F48">
        <w:rPr>
          <w:rFonts w:ascii="仿宋" w:hAnsi="仿宋" w:hint="eastAsia"/>
          <w:color w:val="000000"/>
          <w:szCs w:val="32"/>
        </w:rPr>
        <w:t>。</w:t>
      </w:r>
    </w:p>
    <w:p w14:paraId="6FCC7FF1" w14:textId="766046AE" w:rsidR="005B63E4" w:rsidRPr="008F0733" w:rsidRDefault="005B63E4" w:rsidP="00C7689C">
      <w:pPr>
        <w:widowControl/>
        <w:spacing w:line="560" w:lineRule="exact"/>
        <w:ind w:firstLineChars="200" w:firstLine="640"/>
        <w:jc w:val="center"/>
        <w:rPr>
          <w:rFonts w:ascii="仿宋" w:hAnsi="仿宋"/>
          <w:szCs w:val="32"/>
        </w:rPr>
      </w:pPr>
      <w:r w:rsidRPr="008F0733">
        <w:rPr>
          <w:rFonts w:ascii="仿宋" w:hAnsi="仿宋" w:hint="eastAsia"/>
          <w:szCs w:val="32"/>
        </w:rPr>
        <w:t>表</w:t>
      </w:r>
      <w:r w:rsidR="003519ED" w:rsidRPr="008F0733">
        <w:rPr>
          <w:rFonts w:ascii="仿宋" w:hAnsi="仿宋"/>
          <w:szCs w:val="32"/>
        </w:rPr>
        <w:t>5</w:t>
      </w:r>
      <w:r w:rsidRPr="008F0733">
        <w:rPr>
          <w:rFonts w:ascii="仿宋" w:hAnsi="仿宋"/>
          <w:szCs w:val="32"/>
        </w:rPr>
        <w:t xml:space="preserve">  抽查报告</w:t>
      </w:r>
      <w:r w:rsidRPr="008F0733">
        <w:rPr>
          <w:rFonts w:ascii="仿宋" w:hAnsi="仿宋" w:hint="eastAsia"/>
          <w:szCs w:val="32"/>
        </w:rPr>
        <w:t>存在问题数量</w:t>
      </w:r>
      <w:r w:rsidRPr="008F0733">
        <w:rPr>
          <w:rFonts w:ascii="仿宋" w:hAnsi="仿宋"/>
          <w:szCs w:val="32"/>
        </w:rPr>
        <w:t>统计</w:t>
      </w:r>
    </w:p>
    <w:p w14:paraId="2FA8FBE1" w14:textId="230099FA" w:rsidR="005B63E4" w:rsidRDefault="008F0733" w:rsidP="005B63E4">
      <w:pPr>
        <w:widowControl/>
        <w:spacing w:line="400" w:lineRule="atLeast"/>
        <w:ind w:firstLineChars="200" w:firstLine="640"/>
        <w:jc w:val="left"/>
        <w:rPr>
          <w:rFonts w:ascii="仿宋" w:hAnsi="仿宋"/>
          <w:szCs w:val="32"/>
        </w:rPr>
      </w:pPr>
      <w:r w:rsidRPr="00C03302">
        <w:rPr>
          <w:rFonts w:ascii="仿宋" w:hAnsi="仿宋"/>
          <w:noProof/>
        </w:rPr>
        <w:lastRenderedPageBreak/>
        <w:drawing>
          <wp:inline distT="0" distB="0" distL="0" distR="0" wp14:anchorId="735A4C9B" wp14:editId="6A39C13B">
            <wp:extent cx="4557092" cy="276680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213460" w14:textId="7FFFCB65" w:rsidR="00571FCD" w:rsidRPr="00924BB8" w:rsidRDefault="00B4119B" w:rsidP="00C7689C">
      <w:pPr>
        <w:spacing w:line="560" w:lineRule="exact"/>
        <w:ind w:firstLineChars="201" w:firstLine="643"/>
        <w:rPr>
          <w:rFonts w:ascii="仿宋" w:hAnsi="仿宋"/>
          <w:color w:val="000000"/>
          <w:szCs w:val="32"/>
        </w:rPr>
      </w:pPr>
      <w:r w:rsidRPr="00924BB8">
        <w:rPr>
          <w:rFonts w:ascii="仿宋" w:hAnsi="仿宋"/>
          <w:color w:val="000000"/>
          <w:szCs w:val="32"/>
        </w:rPr>
        <w:t>3</w:t>
      </w:r>
      <w:r w:rsidR="00571FCD" w:rsidRPr="00924BB8">
        <w:rPr>
          <w:rFonts w:ascii="仿宋" w:hAnsi="仿宋"/>
          <w:color w:val="000000"/>
          <w:szCs w:val="32"/>
        </w:rPr>
        <w:t>.存在问题</w:t>
      </w:r>
      <w:r w:rsidR="003F7D74" w:rsidRPr="00924BB8">
        <w:rPr>
          <w:rFonts w:ascii="仿宋" w:hAnsi="仿宋"/>
          <w:color w:val="000000"/>
          <w:szCs w:val="32"/>
        </w:rPr>
        <w:t>特点</w:t>
      </w:r>
      <w:r w:rsidR="00571FCD" w:rsidRPr="00924BB8">
        <w:rPr>
          <w:rFonts w:ascii="仿宋" w:hAnsi="仿宋" w:hint="eastAsia"/>
          <w:color w:val="000000"/>
          <w:szCs w:val="32"/>
        </w:rPr>
        <w:t>不同</w:t>
      </w:r>
    </w:p>
    <w:p w14:paraId="42E2F8A1" w14:textId="098678FB" w:rsidR="00571FCD" w:rsidRPr="00924BB8" w:rsidRDefault="003F7D74"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以问题序号为横轴、出错频</w:t>
      </w:r>
      <w:r w:rsidR="00B0677A" w:rsidRPr="00924BB8">
        <w:rPr>
          <w:rFonts w:ascii="仿宋" w:hAnsi="仿宋"/>
          <w:color w:val="000000"/>
          <w:szCs w:val="32"/>
        </w:rPr>
        <w:t>次</w:t>
      </w:r>
      <w:r w:rsidRPr="00924BB8">
        <w:rPr>
          <w:rFonts w:ascii="仿宋" w:hAnsi="仿宋" w:hint="eastAsia"/>
          <w:color w:val="000000"/>
          <w:szCs w:val="32"/>
        </w:rPr>
        <w:t>为纵轴，形成散点图。单项资产评估业务问题分布较集中，主要出现在订立业务委托合同，资产评估申报明细表，评估依据等方面；企业价值评估业务问题分布较均衡，主要出现在专业能力分析和评价，采用核对、监盘、勘查等方式进行现场调查，评估机构内部复核工作，评估依据等方面；无形资产评估业务问题分布较分散</w:t>
      </w:r>
      <w:r w:rsidR="00456D03" w:rsidRPr="00924BB8">
        <w:rPr>
          <w:rFonts w:ascii="仿宋" w:hAnsi="仿宋" w:hint="eastAsia"/>
          <w:color w:val="000000"/>
          <w:szCs w:val="32"/>
        </w:rPr>
        <w:t>，</w:t>
      </w:r>
      <w:r w:rsidRPr="00924BB8">
        <w:rPr>
          <w:rFonts w:ascii="仿宋" w:hAnsi="仿宋" w:hint="eastAsia"/>
          <w:color w:val="000000"/>
          <w:szCs w:val="32"/>
        </w:rPr>
        <w:t>出现在独立性分析和评价，资产评估报告附件等</w:t>
      </w:r>
      <w:r w:rsidR="00456D03" w:rsidRPr="00924BB8">
        <w:rPr>
          <w:rFonts w:ascii="仿宋" w:hAnsi="仿宋" w:hint="eastAsia"/>
          <w:color w:val="000000"/>
          <w:szCs w:val="32"/>
        </w:rPr>
        <w:t>各</w:t>
      </w:r>
      <w:r w:rsidRPr="00924BB8">
        <w:rPr>
          <w:rFonts w:ascii="仿宋" w:hAnsi="仿宋" w:hint="eastAsia"/>
          <w:color w:val="000000"/>
          <w:szCs w:val="32"/>
        </w:rPr>
        <w:t>方面。</w:t>
      </w:r>
    </w:p>
    <w:p w14:paraId="2EEA0A09" w14:textId="6AB4B812" w:rsidR="00FB6FD6" w:rsidRDefault="00FB6FD6" w:rsidP="00C7689C">
      <w:pPr>
        <w:widowControl/>
        <w:spacing w:line="560" w:lineRule="exact"/>
        <w:jc w:val="center"/>
        <w:rPr>
          <w:rFonts w:ascii="仿宋" w:hAnsi="仿宋"/>
          <w:szCs w:val="32"/>
        </w:rPr>
      </w:pPr>
      <w:r>
        <w:rPr>
          <w:rFonts w:ascii="仿宋" w:hAnsi="仿宋" w:hint="eastAsia"/>
          <w:szCs w:val="32"/>
        </w:rPr>
        <w:t>表</w:t>
      </w:r>
      <w:r w:rsidR="003519ED">
        <w:rPr>
          <w:rFonts w:ascii="仿宋" w:hAnsi="仿宋"/>
          <w:szCs w:val="32"/>
        </w:rPr>
        <w:t>6</w:t>
      </w:r>
      <w:r w:rsidRPr="00BE2348">
        <w:rPr>
          <w:rFonts w:ascii="仿宋" w:hAnsi="仿宋" w:hint="eastAsia"/>
          <w:szCs w:val="32"/>
        </w:rPr>
        <w:t xml:space="preserve"> </w:t>
      </w:r>
      <w:r w:rsidRPr="00BE2348">
        <w:rPr>
          <w:rFonts w:ascii="仿宋" w:hAnsi="仿宋"/>
          <w:szCs w:val="32"/>
        </w:rPr>
        <w:t>抽查报告</w:t>
      </w:r>
      <w:r w:rsidRPr="00BE2348">
        <w:rPr>
          <w:rFonts w:ascii="仿宋" w:hAnsi="仿宋" w:hint="eastAsia"/>
          <w:szCs w:val="32"/>
        </w:rPr>
        <w:t>存在</w:t>
      </w:r>
      <w:r w:rsidRPr="00BE2348">
        <w:rPr>
          <w:rFonts w:ascii="仿宋" w:hAnsi="仿宋"/>
          <w:szCs w:val="32"/>
        </w:rPr>
        <w:t>问题</w:t>
      </w:r>
      <w:r w:rsidRPr="00BE2348">
        <w:rPr>
          <w:rFonts w:ascii="仿宋" w:hAnsi="仿宋" w:hint="eastAsia"/>
          <w:szCs w:val="32"/>
        </w:rPr>
        <w:t>覆盖</w:t>
      </w:r>
      <w:r w:rsidRPr="00BE2348">
        <w:rPr>
          <w:rFonts w:ascii="仿宋" w:hAnsi="仿宋"/>
          <w:szCs w:val="32"/>
        </w:rPr>
        <w:t>面情况</w:t>
      </w:r>
    </w:p>
    <w:p w14:paraId="18690358" w14:textId="7BD3F007" w:rsidR="00571FCD" w:rsidRPr="004B1F6D" w:rsidRDefault="0091439A" w:rsidP="00C7689C">
      <w:pPr>
        <w:widowControl/>
        <w:spacing w:line="400" w:lineRule="atLeast"/>
        <w:jc w:val="center"/>
        <w:rPr>
          <w:rFonts w:ascii="仿宋" w:hAnsi="仿宋"/>
          <w:szCs w:val="32"/>
        </w:rPr>
      </w:pPr>
      <w:r>
        <w:rPr>
          <w:noProof/>
        </w:rPr>
        <w:lastRenderedPageBreak/>
        <w:drawing>
          <wp:inline distT="0" distB="0" distL="0" distR="0" wp14:anchorId="63156240" wp14:editId="466720AB">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751368" w14:textId="77777777" w:rsidR="0044038D" w:rsidRPr="00924BB8" w:rsidRDefault="0044038D" w:rsidP="00C7689C">
      <w:pPr>
        <w:pStyle w:val="a8"/>
        <w:widowControl/>
        <w:numPr>
          <w:ilvl w:val="0"/>
          <w:numId w:val="1"/>
        </w:numPr>
        <w:spacing w:line="560" w:lineRule="exact"/>
        <w:ind w:firstLineChars="0"/>
        <w:rPr>
          <w:rFonts w:ascii="黑体" w:eastAsia="黑体" w:hAnsi="黑体"/>
          <w:color w:val="000000"/>
          <w:szCs w:val="32"/>
        </w:rPr>
      </w:pPr>
      <w:r w:rsidRPr="00924BB8">
        <w:rPr>
          <w:rFonts w:ascii="黑体" w:eastAsia="黑体" w:hAnsi="黑体" w:hint="eastAsia"/>
          <w:color w:val="000000"/>
          <w:szCs w:val="32"/>
        </w:rPr>
        <w:t>检查发现的主要问题</w:t>
      </w:r>
    </w:p>
    <w:p w14:paraId="28765AD1" w14:textId="6DAC1653" w:rsidR="0044038D" w:rsidRPr="00924BB8" w:rsidRDefault="0044038D" w:rsidP="00C7689C">
      <w:pPr>
        <w:widowControl/>
        <w:spacing w:line="560" w:lineRule="exact"/>
        <w:ind w:firstLineChars="200" w:firstLine="640"/>
        <w:rPr>
          <w:rFonts w:ascii="楷体" w:eastAsia="楷体" w:hAnsi="楷体"/>
          <w:color w:val="000000"/>
          <w:szCs w:val="32"/>
        </w:rPr>
      </w:pPr>
      <w:r w:rsidRPr="00924BB8">
        <w:rPr>
          <w:rFonts w:ascii="楷体" w:eastAsia="楷体" w:hAnsi="楷体" w:hint="eastAsia"/>
          <w:color w:val="000000"/>
          <w:szCs w:val="32"/>
        </w:rPr>
        <w:t>（一）评估工作底稿</w:t>
      </w:r>
    </w:p>
    <w:p w14:paraId="5F86DC31" w14:textId="27D6198C"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color w:val="000000"/>
          <w:szCs w:val="32"/>
        </w:rPr>
        <w:t>1．管理类底稿流于形式</w:t>
      </w:r>
    </w:p>
    <w:p w14:paraId="53BA1C97"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评估业务基本事项、综合分析和评价（包括专业能力、独立性和业务风险）、资产评估计划等内部管理类底稿过于简单、流于形式、缺少相关负责人审批签名。</w:t>
      </w:r>
    </w:p>
    <w:p w14:paraId="25E7B010"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《资产评估委托合同》等客户管理费底稿评估目的、评估范围等与资产评估报告表述不一致。</w:t>
      </w:r>
    </w:p>
    <w:p w14:paraId="445A1C2C" w14:textId="46905582"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color w:val="000000"/>
          <w:szCs w:val="32"/>
        </w:rPr>
        <w:t>2．操作类底稿不完整</w:t>
      </w:r>
    </w:p>
    <w:p w14:paraId="4FF78CF7"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现场勘查记录、监盘表、询问和访谈等现场调查底稿未归档。</w:t>
      </w:r>
    </w:p>
    <w:p w14:paraId="66E7B66C"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未收集被评估单位盖章申报表或资产清单、被评估单位收益预测资料等底稿。</w:t>
      </w:r>
    </w:p>
    <w:p w14:paraId="624E2D24" w14:textId="6D6F8DAD"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color w:val="000000"/>
          <w:szCs w:val="32"/>
        </w:rPr>
        <w:t>3．审核归档流程不规范</w:t>
      </w:r>
    </w:p>
    <w:p w14:paraId="6C26AB19"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同一机构的审核流程未统一、审核人员不适当，审核意见无实质性内容。</w:t>
      </w:r>
    </w:p>
    <w:p w14:paraId="227EC2F0"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个别机构资产评估报告日至本次执业质量检查日超过</w:t>
      </w:r>
      <w:r w:rsidRPr="00924BB8">
        <w:rPr>
          <w:rFonts w:ascii="仿宋" w:hAnsi="仿宋"/>
          <w:color w:val="000000"/>
          <w:szCs w:val="32"/>
        </w:rPr>
        <w:t>1</w:t>
      </w:r>
      <w:r w:rsidRPr="00924BB8">
        <w:rPr>
          <w:rFonts w:ascii="仿宋" w:hAnsi="仿宋"/>
          <w:color w:val="000000"/>
          <w:szCs w:val="32"/>
        </w:rPr>
        <w:lastRenderedPageBreak/>
        <w:t>年，仍未整理归档。个别机构档案保管期仍为10年。</w:t>
      </w:r>
    </w:p>
    <w:p w14:paraId="7409378B" w14:textId="675AE2B5" w:rsidR="0044038D" w:rsidRPr="00924BB8" w:rsidRDefault="005E27BF" w:rsidP="00C7689C">
      <w:pPr>
        <w:widowControl/>
        <w:spacing w:line="560" w:lineRule="exact"/>
        <w:ind w:firstLineChars="200" w:firstLine="640"/>
        <w:rPr>
          <w:rFonts w:ascii="楷体" w:eastAsia="楷体" w:hAnsi="楷体"/>
          <w:color w:val="000000"/>
          <w:szCs w:val="32"/>
        </w:rPr>
      </w:pPr>
      <w:r w:rsidRPr="00924BB8">
        <w:rPr>
          <w:rFonts w:ascii="楷体" w:eastAsia="楷体" w:hAnsi="楷体" w:hint="eastAsia"/>
          <w:color w:val="000000"/>
          <w:szCs w:val="32"/>
        </w:rPr>
        <w:t>（二）</w:t>
      </w:r>
      <w:r w:rsidR="0044038D" w:rsidRPr="00924BB8">
        <w:rPr>
          <w:rFonts w:ascii="楷体" w:eastAsia="楷体" w:hAnsi="楷体" w:hint="eastAsia"/>
          <w:color w:val="000000"/>
          <w:szCs w:val="32"/>
        </w:rPr>
        <w:t>资产评估报告</w:t>
      </w:r>
    </w:p>
    <w:p w14:paraId="20A4BED7" w14:textId="788D7B5B"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color w:val="000000"/>
          <w:szCs w:val="32"/>
        </w:rPr>
        <w:t>1</w:t>
      </w:r>
      <w:r w:rsidR="005E27BF" w:rsidRPr="00924BB8">
        <w:rPr>
          <w:rFonts w:ascii="仿宋" w:hAnsi="仿宋" w:hint="eastAsia"/>
          <w:color w:val="000000"/>
          <w:szCs w:val="32"/>
        </w:rPr>
        <w:t>．</w:t>
      </w:r>
      <w:r w:rsidRPr="00924BB8">
        <w:rPr>
          <w:rFonts w:ascii="仿宋" w:hAnsi="仿宋" w:hint="eastAsia"/>
          <w:color w:val="000000"/>
          <w:szCs w:val="32"/>
        </w:rPr>
        <w:t>报告封面表述不规范</w:t>
      </w:r>
    </w:p>
    <w:p w14:paraId="6B3A14F2"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资产评估报告标题过于简单，部分评估机构未按规定申报并体现统一编码。</w:t>
      </w:r>
    </w:p>
    <w:p w14:paraId="2E4275C3" w14:textId="26CD0E54"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color w:val="000000"/>
          <w:szCs w:val="32"/>
        </w:rPr>
        <w:t>2</w:t>
      </w:r>
      <w:r w:rsidR="005E27BF" w:rsidRPr="00924BB8">
        <w:rPr>
          <w:rFonts w:ascii="仿宋" w:hAnsi="仿宋" w:hint="eastAsia"/>
          <w:color w:val="000000"/>
          <w:szCs w:val="32"/>
        </w:rPr>
        <w:t>．</w:t>
      </w:r>
      <w:r w:rsidRPr="00924BB8">
        <w:rPr>
          <w:rFonts w:ascii="仿宋" w:hAnsi="仿宋" w:hint="eastAsia"/>
          <w:color w:val="000000"/>
          <w:szCs w:val="32"/>
        </w:rPr>
        <w:t>资产评估报告内容不规范</w:t>
      </w:r>
    </w:p>
    <w:p w14:paraId="46AC7868"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资产评估报告未按最新资产评估法律法规编制，内容模板化、未根据项目的具体情况进行相应的删减、修改。</w:t>
      </w:r>
    </w:p>
    <w:p w14:paraId="6193FAF5"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评估对象和评估范围描述不清晰，缺少评估方法适用性分析，评估假设不完整或不全面，缺少与具体评估业务相关的特定假设。</w:t>
      </w:r>
    </w:p>
    <w:p w14:paraId="050F664B"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评估依据不完整、采用已失效的法律法规和准则依据的问题。</w:t>
      </w:r>
    </w:p>
    <w:p w14:paraId="3AD40431" w14:textId="50E1CF54"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color w:val="000000"/>
          <w:szCs w:val="32"/>
        </w:rPr>
        <w:t>3</w:t>
      </w:r>
      <w:r w:rsidR="005E27BF" w:rsidRPr="00924BB8">
        <w:rPr>
          <w:rFonts w:ascii="仿宋" w:hAnsi="仿宋" w:hint="eastAsia"/>
          <w:color w:val="000000"/>
          <w:szCs w:val="32"/>
        </w:rPr>
        <w:t>．</w:t>
      </w:r>
      <w:r w:rsidRPr="00924BB8">
        <w:rPr>
          <w:rFonts w:ascii="仿宋" w:hAnsi="仿宋" w:hint="eastAsia"/>
          <w:color w:val="000000"/>
          <w:szCs w:val="32"/>
        </w:rPr>
        <w:t>“评估方法的运用过程”部分描述过于简略</w:t>
      </w:r>
    </w:p>
    <w:p w14:paraId="72B1A76F"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收益法测算过程缺少对收益年限、未来收益及折现率等主要参数的来源、分析、比较和测算过程。</w:t>
      </w:r>
    </w:p>
    <w:p w14:paraId="24715326" w14:textId="77777777"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市场法中未见各项修正因素考虑、逻辑关系、取值依据、因素比较修正过程阐述等。</w:t>
      </w:r>
    </w:p>
    <w:p w14:paraId="7796ACEE" w14:textId="2A8F9C2B" w:rsidR="0044038D" w:rsidRPr="00924BB8" w:rsidRDefault="0044038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成本法未对评估公式中具体参数进行定义，重要参数来源不详，缺少分析和说明。</w:t>
      </w:r>
    </w:p>
    <w:p w14:paraId="478C6044" w14:textId="361D50BB" w:rsidR="00F31111" w:rsidRPr="00CE4A92" w:rsidRDefault="00CC6DDA" w:rsidP="00C7689C">
      <w:pPr>
        <w:pStyle w:val="a8"/>
        <w:widowControl/>
        <w:numPr>
          <w:ilvl w:val="0"/>
          <w:numId w:val="1"/>
        </w:numPr>
        <w:spacing w:line="560" w:lineRule="exact"/>
        <w:ind w:firstLineChars="0"/>
        <w:rPr>
          <w:rFonts w:ascii="黑体" w:eastAsia="黑体" w:hAnsi="黑体"/>
          <w:color w:val="000000"/>
          <w:szCs w:val="32"/>
        </w:rPr>
      </w:pPr>
      <w:r w:rsidRPr="00153BA9">
        <w:rPr>
          <w:rFonts w:ascii="黑体" w:eastAsia="黑体" w:hAnsi="黑体"/>
          <w:color w:val="000000"/>
          <w:szCs w:val="32"/>
        </w:rPr>
        <w:t>下一步</w:t>
      </w:r>
      <w:r w:rsidR="00F31111" w:rsidRPr="00CE4A92">
        <w:rPr>
          <w:rFonts w:ascii="黑体" w:eastAsia="黑体" w:hAnsi="黑体" w:hint="eastAsia"/>
          <w:color w:val="000000"/>
          <w:szCs w:val="32"/>
        </w:rPr>
        <w:t>行业监管工作重点</w:t>
      </w:r>
    </w:p>
    <w:p w14:paraId="11A8B69A" w14:textId="154DC60E" w:rsidR="0046045D" w:rsidRPr="00924BB8" w:rsidRDefault="0046045D"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中小机构抗风险能力相对较弱，如何应对市场环境和政策的变化，在拓展业务的同时完善</w:t>
      </w:r>
      <w:r w:rsidR="00F46272" w:rsidRPr="00924BB8">
        <w:rPr>
          <w:rFonts w:ascii="仿宋" w:hAnsi="仿宋" w:hint="eastAsia"/>
          <w:color w:val="000000"/>
          <w:szCs w:val="32"/>
        </w:rPr>
        <w:t>内部控制</w:t>
      </w:r>
      <w:r w:rsidRPr="00924BB8">
        <w:rPr>
          <w:rFonts w:ascii="仿宋" w:hAnsi="仿宋" w:hint="eastAsia"/>
          <w:color w:val="000000"/>
          <w:szCs w:val="32"/>
        </w:rPr>
        <w:t>，强化风险意识，</w:t>
      </w:r>
      <w:r w:rsidR="00CC6DDA" w:rsidRPr="00153BA9">
        <w:rPr>
          <w:rFonts w:ascii="仿宋" w:hAnsi="仿宋"/>
          <w:color w:val="000000"/>
          <w:szCs w:val="32"/>
        </w:rPr>
        <w:t>培养</w:t>
      </w:r>
      <w:r w:rsidR="004758CF" w:rsidRPr="00CE4A92">
        <w:rPr>
          <w:rFonts w:ascii="仿宋" w:hAnsi="仿宋" w:hint="eastAsia"/>
          <w:color w:val="000000"/>
          <w:szCs w:val="32"/>
        </w:rPr>
        <w:t>专业</w:t>
      </w:r>
      <w:r w:rsidR="006713C1" w:rsidRPr="00153BA9">
        <w:rPr>
          <w:rFonts w:ascii="仿宋" w:hAnsi="仿宋" w:hint="eastAsia"/>
          <w:color w:val="000000"/>
          <w:szCs w:val="32"/>
        </w:rPr>
        <w:t>人</w:t>
      </w:r>
      <w:r w:rsidR="006713C1" w:rsidRPr="00153BA9">
        <w:rPr>
          <w:rFonts w:ascii="仿宋" w:hAnsi="仿宋"/>
          <w:color w:val="000000"/>
          <w:szCs w:val="32"/>
        </w:rPr>
        <w:t>才</w:t>
      </w:r>
      <w:r w:rsidR="00590648" w:rsidRPr="00153BA9">
        <w:rPr>
          <w:rFonts w:ascii="仿宋" w:hAnsi="仿宋" w:hint="eastAsia"/>
          <w:color w:val="000000"/>
          <w:szCs w:val="32"/>
        </w:rPr>
        <w:t>，</w:t>
      </w:r>
      <w:r w:rsidR="00590648" w:rsidRPr="00153BA9">
        <w:rPr>
          <w:rFonts w:ascii="仿宋" w:hAnsi="仿宋"/>
          <w:color w:val="000000"/>
          <w:szCs w:val="32"/>
        </w:rPr>
        <w:t>锻炼专业</w:t>
      </w:r>
      <w:r w:rsidR="004758CF" w:rsidRPr="00CE4A92">
        <w:rPr>
          <w:rFonts w:ascii="仿宋" w:hAnsi="仿宋" w:hint="eastAsia"/>
          <w:color w:val="000000"/>
          <w:szCs w:val="32"/>
        </w:rPr>
        <w:t>团队，</w:t>
      </w:r>
      <w:r w:rsidRPr="00CE4A92">
        <w:rPr>
          <w:rFonts w:ascii="仿宋" w:hAnsi="仿宋" w:hint="eastAsia"/>
          <w:color w:val="000000"/>
          <w:szCs w:val="32"/>
        </w:rPr>
        <w:t>在逆势中保存</w:t>
      </w:r>
      <w:r w:rsidR="00961594" w:rsidRPr="00CE4A92">
        <w:rPr>
          <w:rFonts w:ascii="仿宋" w:hAnsi="仿宋" w:hint="eastAsia"/>
          <w:color w:val="000000"/>
          <w:szCs w:val="32"/>
        </w:rPr>
        <w:t>高质量</w:t>
      </w:r>
      <w:r w:rsidRPr="00CE4A92">
        <w:rPr>
          <w:rFonts w:ascii="仿宋" w:hAnsi="仿宋" w:hint="eastAsia"/>
          <w:color w:val="000000"/>
          <w:szCs w:val="32"/>
        </w:rPr>
        <w:t>发展的</w:t>
      </w:r>
      <w:r w:rsidR="00D521DD" w:rsidRPr="00924BB8">
        <w:rPr>
          <w:rFonts w:ascii="仿宋" w:hAnsi="仿宋" w:hint="eastAsia"/>
          <w:color w:val="000000"/>
          <w:szCs w:val="32"/>
        </w:rPr>
        <w:lastRenderedPageBreak/>
        <w:t>实力</w:t>
      </w:r>
      <w:r w:rsidRPr="00924BB8">
        <w:rPr>
          <w:rFonts w:ascii="仿宋" w:hAnsi="仿宋" w:hint="eastAsia"/>
          <w:color w:val="000000"/>
          <w:szCs w:val="32"/>
        </w:rPr>
        <w:t>，成为当下</w:t>
      </w:r>
      <w:r w:rsidR="00F92FC3" w:rsidRPr="00924BB8">
        <w:rPr>
          <w:rFonts w:ascii="仿宋" w:hAnsi="仿宋" w:hint="eastAsia"/>
          <w:color w:val="000000"/>
          <w:szCs w:val="32"/>
        </w:rPr>
        <w:t>亟需关注的重点</w:t>
      </w:r>
      <w:r w:rsidRPr="00924BB8">
        <w:rPr>
          <w:rFonts w:ascii="仿宋" w:hAnsi="仿宋" w:hint="eastAsia"/>
          <w:color w:val="000000"/>
          <w:szCs w:val="32"/>
        </w:rPr>
        <w:t>。</w:t>
      </w:r>
    </w:p>
    <w:p w14:paraId="29FC1A5E" w14:textId="2514CE5E" w:rsidR="00F31111" w:rsidRPr="00924BB8" w:rsidRDefault="00D8623F" w:rsidP="00C7689C">
      <w:pPr>
        <w:spacing w:line="560" w:lineRule="exact"/>
        <w:ind w:firstLineChars="201" w:firstLine="643"/>
        <w:rPr>
          <w:rFonts w:ascii="仿宋" w:hAnsi="仿宋"/>
          <w:color w:val="000000"/>
          <w:szCs w:val="32"/>
        </w:rPr>
      </w:pPr>
      <w:r w:rsidRPr="00924BB8">
        <w:rPr>
          <w:rFonts w:ascii="仿宋" w:hAnsi="仿宋" w:hint="eastAsia"/>
          <w:color w:val="000000"/>
          <w:szCs w:val="32"/>
        </w:rPr>
        <w:t>未来数年</w:t>
      </w:r>
      <w:r w:rsidR="006D0896" w:rsidRPr="00924BB8">
        <w:rPr>
          <w:rFonts w:ascii="仿宋" w:hAnsi="仿宋" w:hint="eastAsia"/>
          <w:color w:val="000000"/>
          <w:szCs w:val="32"/>
        </w:rPr>
        <w:t>，</w:t>
      </w:r>
      <w:r w:rsidR="006D0896" w:rsidRPr="00CE4A92">
        <w:rPr>
          <w:rFonts w:ascii="仿宋" w:hAnsi="仿宋" w:hint="eastAsia"/>
          <w:color w:val="000000"/>
          <w:szCs w:val="32"/>
        </w:rPr>
        <w:t>我会将</w:t>
      </w:r>
      <w:r w:rsidR="0012174E" w:rsidRPr="00CE4A92">
        <w:rPr>
          <w:rFonts w:ascii="仿宋" w:hAnsi="仿宋" w:hint="eastAsia"/>
          <w:color w:val="000000"/>
          <w:szCs w:val="32"/>
        </w:rPr>
        <w:t>紧盯</w:t>
      </w:r>
      <w:r w:rsidR="004F6F78" w:rsidRPr="00CE4A92">
        <w:rPr>
          <w:rFonts w:ascii="仿宋" w:hAnsi="仿宋" w:hint="eastAsia"/>
          <w:color w:val="000000"/>
          <w:szCs w:val="32"/>
        </w:rPr>
        <w:t>日常监管中的线索、</w:t>
      </w:r>
      <w:r w:rsidR="0012174E" w:rsidRPr="00CE4A92">
        <w:rPr>
          <w:rFonts w:ascii="仿宋" w:hAnsi="仿宋" w:hint="eastAsia"/>
          <w:color w:val="000000"/>
          <w:szCs w:val="32"/>
        </w:rPr>
        <w:t>重点</w:t>
      </w:r>
      <w:r w:rsidR="00F1289B" w:rsidRPr="00153BA9">
        <w:rPr>
          <w:rFonts w:ascii="仿宋" w:hAnsi="仿宋" w:hint="eastAsia"/>
          <w:color w:val="000000"/>
          <w:szCs w:val="32"/>
        </w:rPr>
        <w:t>，对“问题机构</w:t>
      </w:r>
      <w:r w:rsidR="00F1289B" w:rsidRPr="00153BA9">
        <w:rPr>
          <w:rFonts w:ascii="仿宋" w:hAnsi="仿宋"/>
          <w:color w:val="000000"/>
          <w:szCs w:val="32"/>
        </w:rPr>
        <w:t>”</w:t>
      </w:r>
      <w:r w:rsidR="00F1289B" w:rsidRPr="00153BA9">
        <w:rPr>
          <w:rFonts w:ascii="仿宋" w:hAnsi="仿宋" w:hint="eastAsia"/>
          <w:color w:val="000000"/>
          <w:szCs w:val="32"/>
        </w:rPr>
        <w:t>进行</w:t>
      </w:r>
      <w:r w:rsidR="0012174E" w:rsidRPr="00CE4A92">
        <w:rPr>
          <w:rFonts w:ascii="仿宋" w:hAnsi="仿宋" w:hint="eastAsia"/>
          <w:color w:val="000000"/>
          <w:szCs w:val="32"/>
        </w:rPr>
        <w:t>整治</w:t>
      </w:r>
      <w:r w:rsidR="004F6F78" w:rsidRPr="00CE4A92">
        <w:rPr>
          <w:rFonts w:ascii="仿宋" w:hAnsi="仿宋" w:hint="eastAsia"/>
          <w:color w:val="000000"/>
          <w:szCs w:val="32"/>
        </w:rPr>
        <w:t>，</w:t>
      </w:r>
      <w:r w:rsidR="00F1289B" w:rsidRPr="00153BA9">
        <w:rPr>
          <w:rFonts w:ascii="仿宋" w:hAnsi="仿宋" w:hint="eastAsia"/>
          <w:color w:val="000000"/>
          <w:szCs w:val="32"/>
        </w:rPr>
        <w:t>丰富</w:t>
      </w:r>
      <w:r w:rsidR="00F1289B" w:rsidRPr="00153BA9">
        <w:rPr>
          <w:rFonts w:ascii="仿宋" w:hAnsi="仿宋"/>
          <w:color w:val="000000"/>
          <w:szCs w:val="32"/>
        </w:rPr>
        <w:t>自律监管手段，</w:t>
      </w:r>
      <w:r w:rsidR="00F1289B" w:rsidRPr="00153BA9">
        <w:rPr>
          <w:rFonts w:ascii="仿宋" w:hAnsi="仿宋" w:hint="eastAsia"/>
          <w:color w:val="000000"/>
          <w:szCs w:val="32"/>
        </w:rPr>
        <w:t>引进行政、</w:t>
      </w:r>
      <w:r w:rsidR="00F1289B" w:rsidRPr="00153BA9">
        <w:rPr>
          <w:rFonts w:ascii="仿宋" w:hAnsi="仿宋"/>
          <w:color w:val="000000"/>
          <w:szCs w:val="32"/>
        </w:rPr>
        <w:t>司法部门共同参与行业</w:t>
      </w:r>
      <w:r w:rsidR="00F1289B" w:rsidRPr="00153BA9">
        <w:rPr>
          <w:rFonts w:ascii="仿宋" w:hAnsi="仿宋" w:hint="eastAsia"/>
          <w:color w:val="000000"/>
          <w:szCs w:val="32"/>
        </w:rPr>
        <w:t>监管，发挥</w:t>
      </w:r>
      <w:r w:rsidR="00F1289B" w:rsidRPr="00153BA9">
        <w:rPr>
          <w:rFonts w:ascii="仿宋" w:hAnsi="仿宋"/>
          <w:color w:val="000000"/>
          <w:szCs w:val="32"/>
        </w:rPr>
        <w:t>监管合力，</w:t>
      </w:r>
      <w:r w:rsidR="007E57B2" w:rsidRPr="00CE4A92">
        <w:rPr>
          <w:rFonts w:ascii="仿宋" w:hAnsi="仿宋" w:hint="eastAsia"/>
          <w:color w:val="000000"/>
          <w:szCs w:val="32"/>
        </w:rPr>
        <w:t>提升监</w:t>
      </w:r>
      <w:r w:rsidR="007E57B2" w:rsidRPr="00924BB8">
        <w:rPr>
          <w:rFonts w:ascii="仿宋" w:hAnsi="仿宋" w:hint="eastAsia"/>
          <w:color w:val="000000"/>
          <w:szCs w:val="32"/>
        </w:rPr>
        <w:t>管效能，</w:t>
      </w:r>
      <w:r w:rsidR="00F1289B">
        <w:rPr>
          <w:rFonts w:ascii="仿宋" w:hAnsi="仿宋" w:hint="eastAsia"/>
          <w:color w:val="000000"/>
          <w:szCs w:val="32"/>
        </w:rPr>
        <w:t>不</w:t>
      </w:r>
      <w:r w:rsidR="00F1289B">
        <w:rPr>
          <w:rFonts w:ascii="仿宋" w:hAnsi="仿宋"/>
          <w:color w:val="000000"/>
          <w:szCs w:val="32"/>
        </w:rPr>
        <w:t>断</w:t>
      </w:r>
      <w:r w:rsidR="007E57B2" w:rsidRPr="00924BB8">
        <w:rPr>
          <w:rFonts w:ascii="仿宋" w:hAnsi="仿宋" w:hint="eastAsia"/>
          <w:color w:val="000000"/>
          <w:szCs w:val="32"/>
        </w:rPr>
        <w:t>加大资产评估行业监管力度</w:t>
      </w:r>
      <w:r w:rsidR="006D0896" w:rsidRPr="00924BB8">
        <w:rPr>
          <w:rFonts w:ascii="仿宋" w:hAnsi="仿宋"/>
          <w:color w:val="000000"/>
          <w:szCs w:val="32"/>
        </w:rPr>
        <w:t>，</w:t>
      </w:r>
      <w:r w:rsidR="006D0896" w:rsidRPr="00924BB8">
        <w:rPr>
          <w:rFonts w:ascii="仿宋" w:hAnsi="仿宋" w:hint="eastAsia"/>
          <w:color w:val="000000"/>
          <w:szCs w:val="32"/>
        </w:rPr>
        <w:t>努力</w:t>
      </w:r>
      <w:r w:rsidR="006D0896" w:rsidRPr="00924BB8">
        <w:rPr>
          <w:rFonts w:ascii="仿宋" w:hAnsi="仿宋"/>
          <w:color w:val="000000"/>
          <w:szCs w:val="32"/>
        </w:rPr>
        <w:t>塑造</w:t>
      </w:r>
      <w:r w:rsidR="006D0896" w:rsidRPr="00924BB8">
        <w:rPr>
          <w:rFonts w:ascii="仿宋" w:hAnsi="仿宋" w:hint="eastAsia"/>
          <w:color w:val="000000"/>
          <w:szCs w:val="32"/>
        </w:rPr>
        <w:t>良好</w:t>
      </w:r>
      <w:r w:rsidR="006D0896" w:rsidRPr="00924BB8">
        <w:rPr>
          <w:rFonts w:ascii="仿宋" w:hAnsi="仿宋"/>
          <w:color w:val="000000"/>
          <w:szCs w:val="32"/>
        </w:rPr>
        <w:t>执业环境，为行业的健康、有序发展</w:t>
      </w:r>
      <w:r w:rsidR="006D0896" w:rsidRPr="00924BB8">
        <w:rPr>
          <w:rFonts w:ascii="仿宋" w:hAnsi="仿宋" w:hint="eastAsia"/>
          <w:color w:val="000000"/>
          <w:szCs w:val="32"/>
        </w:rPr>
        <w:t>保驾</w:t>
      </w:r>
      <w:r w:rsidR="006D0896" w:rsidRPr="00924BB8">
        <w:rPr>
          <w:rFonts w:ascii="仿宋" w:hAnsi="仿宋"/>
          <w:color w:val="000000"/>
          <w:szCs w:val="32"/>
        </w:rPr>
        <w:t>护航</w:t>
      </w:r>
      <w:r w:rsidR="004F6F78" w:rsidRPr="00924BB8">
        <w:rPr>
          <w:rFonts w:ascii="仿宋" w:hAnsi="仿宋" w:hint="eastAsia"/>
          <w:color w:val="000000"/>
          <w:szCs w:val="32"/>
        </w:rPr>
        <w:t>。</w:t>
      </w:r>
      <w:bookmarkStart w:id="0" w:name="_GoBack"/>
      <w:bookmarkEnd w:id="0"/>
    </w:p>
    <w:sectPr w:rsidR="00F31111" w:rsidRPr="00924BB8">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FC654" w14:textId="77777777" w:rsidR="00683137" w:rsidRDefault="00683137" w:rsidP="00921401">
      <w:r>
        <w:separator/>
      </w:r>
    </w:p>
  </w:endnote>
  <w:endnote w:type="continuationSeparator" w:id="0">
    <w:p w14:paraId="3E62D096" w14:textId="77777777" w:rsidR="00683137" w:rsidRDefault="00683137" w:rsidP="0092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51378"/>
      <w:docPartObj>
        <w:docPartGallery w:val="Page Numbers (Bottom of Page)"/>
        <w:docPartUnique/>
      </w:docPartObj>
    </w:sdtPr>
    <w:sdtEndPr/>
    <w:sdtContent>
      <w:p w14:paraId="7C2F21A7" w14:textId="0546AD09" w:rsidR="00C93417" w:rsidRDefault="00C93417">
        <w:pPr>
          <w:pStyle w:val="aa"/>
          <w:jc w:val="center"/>
        </w:pPr>
        <w:r>
          <w:fldChar w:fldCharType="begin"/>
        </w:r>
        <w:r>
          <w:instrText>PAGE   \* MERGEFORMAT</w:instrText>
        </w:r>
        <w:r>
          <w:fldChar w:fldCharType="separate"/>
        </w:r>
        <w:r w:rsidR="00C7689C" w:rsidRPr="00C7689C">
          <w:rPr>
            <w:noProof/>
            <w:lang w:val="zh-CN"/>
          </w:rPr>
          <w:t>11</w:t>
        </w:r>
        <w:r>
          <w:fldChar w:fldCharType="end"/>
        </w:r>
      </w:p>
    </w:sdtContent>
  </w:sdt>
  <w:p w14:paraId="2F9753F1" w14:textId="77777777" w:rsidR="00C93417" w:rsidRDefault="00C934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F15A" w14:textId="77777777" w:rsidR="00683137" w:rsidRDefault="00683137" w:rsidP="00921401">
      <w:r>
        <w:separator/>
      </w:r>
    </w:p>
  </w:footnote>
  <w:footnote w:type="continuationSeparator" w:id="0">
    <w:p w14:paraId="1A0B5B5D" w14:textId="77777777" w:rsidR="00683137" w:rsidRDefault="00683137" w:rsidP="00921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6A1F"/>
    <w:multiLevelType w:val="hybridMultilevel"/>
    <w:tmpl w:val="5E8A3A40"/>
    <w:lvl w:ilvl="0" w:tplc="75829C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AC810D1"/>
    <w:multiLevelType w:val="hybridMultilevel"/>
    <w:tmpl w:val="8798592E"/>
    <w:lvl w:ilvl="0" w:tplc="A13E463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CD379B4"/>
    <w:multiLevelType w:val="hybridMultilevel"/>
    <w:tmpl w:val="7B7A720C"/>
    <w:lvl w:ilvl="0" w:tplc="688E66C2">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2CC0307"/>
    <w:multiLevelType w:val="hybridMultilevel"/>
    <w:tmpl w:val="760E5BB0"/>
    <w:lvl w:ilvl="0" w:tplc="E10E635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4F51BB"/>
    <w:multiLevelType w:val="hybridMultilevel"/>
    <w:tmpl w:val="59B292E0"/>
    <w:lvl w:ilvl="0" w:tplc="13B4683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2E9272B"/>
    <w:multiLevelType w:val="hybridMultilevel"/>
    <w:tmpl w:val="EEB647C0"/>
    <w:lvl w:ilvl="0" w:tplc="BD3E73C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FD4854"/>
    <w:multiLevelType w:val="hybridMultilevel"/>
    <w:tmpl w:val="AB1A78B4"/>
    <w:lvl w:ilvl="0" w:tplc="74BA8E1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F8822FA"/>
    <w:multiLevelType w:val="hybridMultilevel"/>
    <w:tmpl w:val="E5C2F196"/>
    <w:lvl w:ilvl="0" w:tplc="243A46B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96"/>
    <w:rsid w:val="000073F6"/>
    <w:rsid w:val="000135DB"/>
    <w:rsid w:val="00016803"/>
    <w:rsid w:val="000201C1"/>
    <w:rsid w:val="00027260"/>
    <w:rsid w:val="0003361B"/>
    <w:rsid w:val="0004211B"/>
    <w:rsid w:val="0004474F"/>
    <w:rsid w:val="00057291"/>
    <w:rsid w:val="000607C5"/>
    <w:rsid w:val="00066FCB"/>
    <w:rsid w:val="0006760C"/>
    <w:rsid w:val="00074172"/>
    <w:rsid w:val="00083C31"/>
    <w:rsid w:val="00093935"/>
    <w:rsid w:val="000C06C1"/>
    <w:rsid w:val="000C143B"/>
    <w:rsid w:val="000C2F7A"/>
    <w:rsid w:val="000C7C90"/>
    <w:rsid w:val="000D3F22"/>
    <w:rsid w:val="000D526B"/>
    <w:rsid w:val="000E2134"/>
    <w:rsid w:val="000E327E"/>
    <w:rsid w:val="000E32C6"/>
    <w:rsid w:val="000E7492"/>
    <w:rsid w:val="000F4C5E"/>
    <w:rsid w:val="000F6763"/>
    <w:rsid w:val="00102E98"/>
    <w:rsid w:val="0012174E"/>
    <w:rsid w:val="00124F5E"/>
    <w:rsid w:val="0012633F"/>
    <w:rsid w:val="0012754D"/>
    <w:rsid w:val="001347B2"/>
    <w:rsid w:val="0013536E"/>
    <w:rsid w:val="001402D1"/>
    <w:rsid w:val="001410CD"/>
    <w:rsid w:val="001411F4"/>
    <w:rsid w:val="001447AF"/>
    <w:rsid w:val="001513A0"/>
    <w:rsid w:val="00151BF9"/>
    <w:rsid w:val="00153BA9"/>
    <w:rsid w:val="0015506D"/>
    <w:rsid w:val="00156E3D"/>
    <w:rsid w:val="00164859"/>
    <w:rsid w:val="00174933"/>
    <w:rsid w:val="00174FD7"/>
    <w:rsid w:val="0017781E"/>
    <w:rsid w:val="001876E2"/>
    <w:rsid w:val="0019639F"/>
    <w:rsid w:val="001A1316"/>
    <w:rsid w:val="001A20C7"/>
    <w:rsid w:val="001A7315"/>
    <w:rsid w:val="001B3AE8"/>
    <w:rsid w:val="001B3F44"/>
    <w:rsid w:val="001C3462"/>
    <w:rsid w:val="001C53E6"/>
    <w:rsid w:val="001D2DB5"/>
    <w:rsid w:val="001D725B"/>
    <w:rsid w:val="001E31AE"/>
    <w:rsid w:val="001F1561"/>
    <w:rsid w:val="0021460F"/>
    <w:rsid w:val="00217622"/>
    <w:rsid w:val="00221E5F"/>
    <w:rsid w:val="002345E4"/>
    <w:rsid w:val="0023594F"/>
    <w:rsid w:val="00242B5F"/>
    <w:rsid w:val="00242D9B"/>
    <w:rsid w:val="00243DA0"/>
    <w:rsid w:val="00244117"/>
    <w:rsid w:val="00246D9D"/>
    <w:rsid w:val="0025001D"/>
    <w:rsid w:val="00253BB3"/>
    <w:rsid w:val="002553B4"/>
    <w:rsid w:val="002559DE"/>
    <w:rsid w:val="00261FCA"/>
    <w:rsid w:val="0028125E"/>
    <w:rsid w:val="002816E2"/>
    <w:rsid w:val="00284181"/>
    <w:rsid w:val="002873FA"/>
    <w:rsid w:val="00290704"/>
    <w:rsid w:val="00291F33"/>
    <w:rsid w:val="002A0D4E"/>
    <w:rsid w:val="002A593D"/>
    <w:rsid w:val="002A7BDB"/>
    <w:rsid w:val="002B1C5A"/>
    <w:rsid w:val="002B3402"/>
    <w:rsid w:val="002B7E20"/>
    <w:rsid w:val="002C03BC"/>
    <w:rsid w:val="002C06D8"/>
    <w:rsid w:val="002C1F29"/>
    <w:rsid w:val="002C2BC2"/>
    <w:rsid w:val="002D49D0"/>
    <w:rsid w:val="002D6317"/>
    <w:rsid w:val="002E20D6"/>
    <w:rsid w:val="002F39C7"/>
    <w:rsid w:val="002F6927"/>
    <w:rsid w:val="00307D8B"/>
    <w:rsid w:val="00317B21"/>
    <w:rsid w:val="003228E5"/>
    <w:rsid w:val="00322B37"/>
    <w:rsid w:val="00323421"/>
    <w:rsid w:val="003266CB"/>
    <w:rsid w:val="00334796"/>
    <w:rsid w:val="00342B3E"/>
    <w:rsid w:val="00344FAF"/>
    <w:rsid w:val="00345273"/>
    <w:rsid w:val="00347BCE"/>
    <w:rsid w:val="003519ED"/>
    <w:rsid w:val="00351C8B"/>
    <w:rsid w:val="00354233"/>
    <w:rsid w:val="00355D9C"/>
    <w:rsid w:val="00362796"/>
    <w:rsid w:val="00363943"/>
    <w:rsid w:val="00374BC0"/>
    <w:rsid w:val="0037648B"/>
    <w:rsid w:val="0038210A"/>
    <w:rsid w:val="00382B0A"/>
    <w:rsid w:val="0038740C"/>
    <w:rsid w:val="003A0D8B"/>
    <w:rsid w:val="003A1592"/>
    <w:rsid w:val="003A2C1F"/>
    <w:rsid w:val="003A58DC"/>
    <w:rsid w:val="003C0897"/>
    <w:rsid w:val="003C6574"/>
    <w:rsid w:val="003D0915"/>
    <w:rsid w:val="003D4119"/>
    <w:rsid w:val="003E0511"/>
    <w:rsid w:val="003E1916"/>
    <w:rsid w:val="003E1BF9"/>
    <w:rsid w:val="003F0842"/>
    <w:rsid w:val="003F4773"/>
    <w:rsid w:val="003F7D74"/>
    <w:rsid w:val="004011AE"/>
    <w:rsid w:val="00402212"/>
    <w:rsid w:val="00406C83"/>
    <w:rsid w:val="00407913"/>
    <w:rsid w:val="00420400"/>
    <w:rsid w:val="00423273"/>
    <w:rsid w:val="00426A50"/>
    <w:rsid w:val="00431A14"/>
    <w:rsid w:val="0044038D"/>
    <w:rsid w:val="004417BF"/>
    <w:rsid w:val="0044207F"/>
    <w:rsid w:val="00444785"/>
    <w:rsid w:val="00456D03"/>
    <w:rsid w:val="0046045D"/>
    <w:rsid w:val="00462F07"/>
    <w:rsid w:val="004630F1"/>
    <w:rsid w:val="00466A6E"/>
    <w:rsid w:val="004670C2"/>
    <w:rsid w:val="004758CF"/>
    <w:rsid w:val="004812AE"/>
    <w:rsid w:val="00486E23"/>
    <w:rsid w:val="0048763E"/>
    <w:rsid w:val="004A26EF"/>
    <w:rsid w:val="004A72BD"/>
    <w:rsid w:val="004B18B8"/>
    <w:rsid w:val="004C7964"/>
    <w:rsid w:val="004D149E"/>
    <w:rsid w:val="004D16A3"/>
    <w:rsid w:val="004D22EA"/>
    <w:rsid w:val="004E0797"/>
    <w:rsid w:val="004E0B92"/>
    <w:rsid w:val="004E5BAC"/>
    <w:rsid w:val="004F1192"/>
    <w:rsid w:val="004F3099"/>
    <w:rsid w:val="004F6F78"/>
    <w:rsid w:val="004F7375"/>
    <w:rsid w:val="00504E6B"/>
    <w:rsid w:val="0051073C"/>
    <w:rsid w:val="00512E04"/>
    <w:rsid w:val="00520FD1"/>
    <w:rsid w:val="00522018"/>
    <w:rsid w:val="005307AC"/>
    <w:rsid w:val="005327A7"/>
    <w:rsid w:val="00533537"/>
    <w:rsid w:val="005337E7"/>
    <w:rsid w:val="005437EE"/>
    <w:rsid w:val="00545707"/>
    <w:rsid w:val="00554F79"/>
    <w:rsid w:val="00565D49"/>
    <w:rsid w:val="005675CD"/>
    <w:rsid w:val="005705A1"/>
    <w:rsid w:val="00571FCD"/>
    <w:rsid w:val="00585244"/>
    <w:rsid w:val="005857A3"/>
    <w:rsid w:val="00590648"/>
    <w:rsid w:val="00591839"/>
    <w:rsid w:val="005A1F7D"/>
    <w:rsid w:val="005B4470"/>
    <w:rsid w:val="005B47D0"/>
    <w:rsid w:val="005B63E4"/>
    <w:rsid w:val="005C2E59"/>
    <w:rsid w:val="005C4CC5"/>
    <w:rsid w:val="005E27BF"/>
    <w:rsid w:val="005F3123"/>
    <w:rsid w:val="005F5967"/>
    <w:rsid w:val="006031EB"/>
    <w:rsid w:val="00603706"/>
    <w:rsid w:val="00603A8E"/>
    <w:rsid w:val="006044D8"/>
    <w:rsid w:val="00606664"/>
    <w:rsid w:val="00613170"/>
    <w:rsid w:val="00621957"/>
    <w:rsid w:val="00622BCB"/>
    <w:rsid w:val="00622F84"/>
    <w:rsid w:val="00623063"/>
    <w:rsid w:val="00646657"/>
    <w:rsid w:val="00647AE2"/>
    <w:rsid w:val="0065570E"/>
    <w:rsid w:val="00657B62"/>
    <w:rsid w:val="00657F18"/>
    <w:rsid w:val="00666471"/>
    <w:rsid w:val="00670278"/>
    <w:rsid w:val="006713C1"/>
    <w:rsid w:val="00671F55"/>
    <w:rsid w:val="006741D2"/>
    <w:rsid w:val="006754B5"/>
    <w:rsid w:val="0068077D"/>
    <w:rsid w:val="00681FB5"/>
    <w:rsid w:val="00683137"/>
    <w:rsid w:val="006878F9"/>
    <w:rsid w:val="006930DE"/>
    <w:rsid w:val="006B628D"/>
    <w:rsid w:val="006D0896"/>
    <w:rsid w:val="006D0F5A"/>
    <w:rsid w:val="006D6A1D"/>
    <w:rsid w:val="006D6B17"/>
    <w:rsid w:val="006E7D86"/>
    <w:rsid w:val="006E7D8E"/>
    <w:rsid w:val="006F16D1"/>
    <w:rsid w:val="00701D27"/>
    <w:rsid w:val="00702869"/>
    <w:rsid w:val="00703618"/>
    <w:rsid w:val="00715EEE"/>
    <w:rsid w:val="00715F4C"/>
    <w:rsid w:val="00716C0D"/>
    <w:rsid w:val="00716C31"/>
    <w:rsid w:val="00736192"/>
    <w:rsid w:val="0074142D"/>
    <w:rsid w:val="00742A60"/>
    <w:rsid w:val="007461CE"/>
    <w:rsid w:val="00750B08"/>
    <w:rsid w:val="007538F2"/>
    <w:rsid w:val="00755CCA"/>
    <w:rsid w:val="00766578"/>
    <w:rsid w:val="00781E60"/>
    <w:rsid w:val="00791DC3"/>
    <w:rsid w:val="007938E9"/>
    <w:rsid w:val="007A4001"/>
    <w:rsid w:val="007B32E2"/>
    <w:rsid w:val="007C7C61"/>
    <w:rsid w:val="007D03B7"/>
    <w:rsid w:val="007D6D13"/>
    <w:rsid w:val="007D6FED"/>
    <w:rsid w:val="007E1416"/>
    <w:rsid w:val="007E57B2"/>
    <w:rsid w:val="007E57D9"/>
    <w:rsid w:val="007F54A0"/>
    <w:rsid w:val="00802BD9"/>
    <w:rsid w:val="0080471A"/>
    <w:rsid w:val="00815124"/>
    <w:rsid w:val="00825C33"/>
    <w:rsid w:val="008272EA"/>
    <w:rsid w:val="00831691"/>
    <w:rsid w:val="0083369F"/>
    <w:rsid w:val="0083382F"/>
    <w:rsid w:val="00833F84"/>
    <w:rsid w:val="00844106"/>
    <w:rsid w:val="0086275C"/>
    <w:rsid w:val="00867A10"/>
    <w:rsid w:val="008934CC"/>
    <w:rsid w:val="008959D1"/>
    <w:rsid w:val="00896FC2"/>
    <w:rsid w:val="008A1C30"/>
    <w:rsid w:val="008A218F"/>
    <w:rsid w:val="008B15C6"/>
    <w:rsid w:val="008B6682"/>
    <w:rsid w:val="008D1C80"/>
    <w:rsid w:val="008D4907"/>
    <w:rsid w:val="008E7394"/>
    <w:rsid w:val="008F0733"/>
    <w:rsid w:val="008F1050"/>
    <w:rsid w:val="008F4572"/>
    <w:rsid w:val="009004A9"/>
    <w:rsid w:val="00905F03"/>
    <w:rsid w:val="0091439A"/>
    <w:rsid w:val="0091565B"/>
    <w:rsid w:val="0091607B"/>
    <w:rsid w:val="00921401"/>
    <w:rsid w:val="00924BB8"/>
    <w:rsid w:val="00926993"/>
    <w:rsid w:val="0093120A"/>
    <w:rsid w:val="00931BCE"/>
    <w:rsid w:val="009329B0"/>
    <w:rsid w:val="009333E7"/>
    <w:rsid w:val="00937808"/>
    <w:rsid w:val="009479AE"/>
    <w:rsid w:val="00955061"/>
    <w:rsid w:val="009577A1"/>
    <w:rsid w:val="00961594"/>
    <w:rsid w:val="00962E45"/>
    <w:rsid w:val="00964CE6"/>
    <w:rsid w:val="0097701A"/>
    <w:rsid w:val="00980E30"/>
    <w:rsid w:val="009823C9"/>
    <w:rsid w:val="00983182"/>
    <w:rsid w:val="0098502D"/>
    <w:rsid w:val="00985F84"/>
    <w:rsid w:val="00992F92"/>
    <w:rsid w:val="009953E2"/>
    <w:rsid w:val="009B4008"/>
    <w:rsid w:val="009B5AAB"/>
    <w:rsid w:val="009C3B10"/>
    <w:rsid w:val="009C6719"/>
    <w:rsid w:val="009D13A8"/>
    <w:rsid w:val="009D7CD5"/>
    <w:rsid w:val="009E39EA"/>
    <w:rsid w:val="009E5E30"/>
    <w:rsid w:val="009F1CBC"/>
    <w:rsid w:val="009F2D72"/>
    <w:rsid w:val="00A06B3F"/>
    <w:rsid w:val="00A13148"/>
    <w:rsid w:val="00A234C7"/>
    <w:rsid w:val="00A51B62"/>
    <w:rsid w:val="00A540E6"/>
    <w:rsid w:val="00A55A47"/>
    <w:rsid w:val="00A55D6E"/>
    <w:rsid w:val="00A56AD6"/>
    <w:rsid w:val="00A6088A"/>
    <w:rsid w:val="00A65254"/>
    <w:rsid w:val="00A72BB5"/>
    <w:rsid w:val="00A72F19"/>
    <w:rsid w:val="00A90169"/>
    <w:rsid w:val="00AA22AC"/>
    <w:rsid w:val="00AA35D9"/>
    <w:rsid w:val="00AA6487"/>
    <w:rsid w:val="00AA65D0"/>
    <w:rsid w:val="00AA75A6"/>
    <w:rsid w:val="00AB7496"/>
    <w:rsid w:val="00AC00CD"/>
    <w:rsid w:val="00AC56D6"/>
    <w:rsid w:val="00AD06E7"/>
    <w:rsid w:val="00AD19DC"/>
    <w:rsid w:val="00AD7010"/>
    <w:rsid w:val="00AF3B90"/>
    <w:rsid w:val="00B012E3"/>
    <w:rsid w:val="00B03018"/>
    <w:rsid w:val="00B0677A"/>
    <w:rsid w:val="00B1204E"/>
    <w:rsid w:val="00B129EF"/>
    <w:rsid w:val="00B143DF"/>
    <w:rsid w:val="00B21B77"/>
    <w:rsid w:val="00B2332F"/>
    <w:rsid w:val="00B26CF8"/>
    <w:rsid w:val="00B30B13"/>
    <w:rsid w:val="00B330EE"/>
    <w:rsid w:val="00B346CC"/>
    <w:rsid w:val="00B3795A"/>
    <w:rsid w:val="00B4119B"/>
    <w:rsid w:val="00B428EB"/>
    <w:rsid w:val="00B44211"/>
    <w:rsid w:val="00B46F50"/>
    <w:rsid w:val="00B51851"/>
    <w:rsid w:val="00B51E07"/>
    <w:rsid w:val="00B60198"/>
    <w:rsid w:val="00B62DC2"/>
    <w:rsid w:val="00B8077D"/>
    <w:rsid w:val="00B83376"/>
    <w:rsid w:val="00B91083"/>
    <w:rsid w:val="00B913C4"/>
    <w:rsid w:val="00B94F48"/>
    <w:rsid w:val="00BA6D97"/>
    <w:rsid w:val="00BB0D64"/>
    <w:rsid w:val="00BB34FE"/>
    <w:rsid w:val="00BC23E1"/>
    <w:rsid w:val="00BD4E93"/>
    <w:rsid w:val="00BD7A54"/>
    <w:rsid w:val="00BE19FE"/>
    <w:rsid w:val="00BE285C"/>
    <w:rsid w:val="00BE5185"/>
    <w:rsid w:val="00BE5DBE"/>
    <w:rsid w:val="00BE6647"/>
    <w:rsid w:val="00BE77FB"/>
    <w:rsid w:val="00BF4CAD"/>
    <w:rsid w:val="00BF4FF5"/>
    <w:rsid w:val="00C04BAD"/>
    <w:rsid w:val="00C1010F"/>
    <w:rsid w:val="00C10758"/>
    <w:rsid w:val="00C11BE5"/>
    <w:rsid w:val="00C27F29"/>
    <w:rsid w:val="00C31ECD"/>
    <w:rsid w:val="00C3642B"/>
    <w:rsid w:val="00C405FF"/>
    <w:rsid w:val="00C431B6"/>
    <w:rsid w:val="00C44DE0"/>
    <w:rsid w:val="00C500BD"/>
    <w:rsid w:val="00C511B9"/>
    <w:rsid w:val="00C52C53"/>
    <w:rsid w:val="00C53797"/>
    <w:rsid w:val="00C5630C"/>
    <w:rsid w:val="00C629E2"/>
    <w:rsid w:val="00C62FDD"/>
    <w:rsid w:val="00C64B4E"/>
    <w:rsid w:val="00C74BE2"/>
    <w:rsid w:val="00C75749"/>
    <w:rsid w:val="00C75E9B"/>
    <w:rsid w:val="00C7689C"/>
    <w:rsid w:val="00C85BA3"/>
    <w:rsid w:val="00C93417"/>
    <w:rsid w:val="00C94047"/>
    <w:rsid w:val="00C95C32"/>
    <w:rsid w:val="00CA2533"/>
    <w:rsid w:val="00CA3185"/>
    <w:rsid w:val="00CB25C6"/>
    <w:rsid w:val="00CB7FE8"/>
    <w:rsid w:val="00CC238E"/>
    <w:rsid w:val="00CC33A0"/>
    <w:rsid w:val="00CC3BF4"/>
    <w:rsid w:val="00CC6DDA"/>
    <w:rsid w:val="00CD0358"/>
    <w:rsid w:val="00CD4783"/>
    <w:rsid w:val="00CD78B9"/>
    <w:rsid w:val="00CE02FB"/>
    <w:rsid w:val="00CE4A92"/>
    <w:rsid w:val="00CF0925"/>
    <w:rsid w:val="00CF34E6"/>
    <w:rsid w:val="00CF395D"/>
    <w:rsid w:val="00CF4356"/>
    <w:rsid w:val="00D00AB8"/>
    <w:rsid w:val="00D04557"/>
    <w:rsid w:val="00D04ABB"/>
    <w:rsid w:val="00D05825"/>
    <w:rsid w:val="00D1188A"/>
    <w:rsid w:val="00D26263"/>
    <w:rsid w:val="00D31C64"/>
    <w:rsid w:val="00D36B51"/>
    <w:rsid w:val="00D37CE4"/>
    <w:rsid w:val="00D43C10"/>
    <w:rsid w:val="00D45420"/>
    <w:rsid w:val="00D46CED"/>
    <w:rsid w:val="00D521DD"/>
    <w:rsid w:val="00D52644"/>
    <w:rsid w:val="00D67646"/>
    <w:rsid w:val="00D8623F"/>
    <w:rsid w:val="00D932D3"/>
    <w:rsid w:val="00D9582B"/>
    <w:rsid w:val="00DA303E"/>
    <w:rsid w:val="00DA374B"/>
    <w:rsid w:val="00DB3AB7"/>
    <w:rsid w:val="00DB6DF6"/>
    <w:rsid w:val="00DC0FDB"/>
    <w:rsid w:val="00DC2A08"/>
    <w:rsid w:val="00DE3FB3"/>
    <w:rsid w:val="00DE4F54"/>
    <w:rsid w:val="00DF3B2A"/>
    <w:rsid w:val="00DF46EA"/>
    <w:rsid w:val="00DF788E"/>
    <w:rsid w:val="00E068F9"/>
    <w:rsid w:val="00E108F2"/>
    <w:rsid w:val="00E10F91"/>
    <w:rsid w:val="00E15A6F"/>
    <w:rsid w:val="00E17626"/>
    <w:rsid w:val="00E21613"/>
    <w:rsid w:val="00E23B20"/>
    <w:rsid w:val="00E25A1C"/>
    <w:rsid w:val="00E26155"/>
    <w:rsid w:val="00E26D2A"/>
    <w:rsid w:val="00E32E1F"/>
    <w:rsid w:val="00E450C9"/>
    <w:rsid w:val="00E55EE0"/>
    <w:rsid w:val="00E643DC"/>
    <w:rsid w:val="00E6457B"/>
    <w:rsid w:val="00E679ED"/>
    <w:rsid w:val="00E765DF"/>
    <w:rsid w:val="00E76B3A"/>
    <w:rsid w:val="00E85915"/>
    <w:rsid w:val="00E938FC"/>
    <w:rsid w:val="00E948DE"/>
    <w:rsid w:val="00E96C4F"/>
    <w:rsid w:val="00EA3CA7"/>
    <w:rsid w:val="00EA7C3D"/>
    <w:rsid w:val="00EB2411"/>
    <w:rsid w:val="00EB5A14"/>
    <w:rsid w:val="00EC46B7"/>
    <w:rsid w:val="00ED2384"/>
    <w:rsid w:val="00ED5DEA"/>
    <w:rsid w:val="00ED6587"/>
    <w:rsid w:val="00EE2671"/>
    <w:rsid w:val="00EE2B59"/>
    <w:rsid w:val="00EE53BC"/>
    <w:rsid w:val="00EE5832"/>
    <w:rsid w:val="00EF4888"/>
    <w:rsid w:val="00F00B69"/>
    <w:rsid w:val="00F1289B"/>
    <w:rsid w:val="00F131DC"/>
    <w:rsid w:val="00F1601A"/>
    <w:rsid w:val="00F175F8"/>
    <w:rsid w:val="00F175FE"/>
    <w:rsid w:val="00F20E08"/>
    <w:rsid w:val="00F237CF"/>
    <w:rsid w:val="00F31111"/>
    <w:rsid w:val="00F40B4C"/>
    <w:rsid w:val="00F43F1C"/>
    <w:rsid w:val="00F4623E"/>
    <w:rsid w:val="00F46272"/>
    <w:rsid w:val="00F6001B"/>
    <w:rsid w:val="00F60541"/>
    <w:rsid w:val="00F60FAD"/>
    <w:rsid w:val="00F64E48"/>
    <w:rsid w:val="00F653D2"/>
    <w:rsid w:val="00F65EF0"/>
    <w:rsid w:val="00F92FC3"/>
    <w:rsid w:val="00F93D33"/>
    <w:rsid w:val="00FA2ACC"/>
    <w:rsid w:val="00FB0763"/>
    <w:rsid w:val="00FB6FD6"/>
    <w:rsid w:val="00FB7F6A"/>
    <w:rsid w:val="00FC0C0A"/>
    <w:rsid w:val="00FC195F"/>
    <w:rsid w:val="00FC36DA"/>
    <w:rsid w:val="00FE1DCE"/>
    <w:rsid w:val="00FE244A"/>
    <w:rsid w:val="00FE31A5"/>
    <w:rsid w:val="00FE6583"/>
    <w:rsid w:val="00FE7029"/>
    <w:rsid w:val="00FF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CE2FA"/>
  <w15:chartTrackingRefBased/>
  <w15:docId w15:val="{17D629CE-0892-4966-AF47-6E2DCC23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496"/>
    <w:pPr>
      <w:widowControl w:val="0"/>
      <w:jc w:val="both"/>
    </w:pPr>
    <w:rPr>
      <w:rFonts w:ascii="Calibri" w:eastAsia="仿宋" w:hAnsi="Calibri" w:cs="Times New Roman"/>
      <w:sz w:val="32"/>
    </w:rPr>
  </w:style>
  <w:style w:type="paragraph" w:styleId="1">
    <w:name w:val="heading 1"/>
    <w:basedOn w:val="a"/>
    <w:next w:val="a"/>
    <w:link w:val="1Char"/>
    <w:uiPriority w:val="9"/>
    <w:qFormat/>
    <w:rsid w:val="00716C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316"/>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3C0897"/>
    <w:rPr>
      <w:sz w:val="21"/>
      <w:szCs w:val="21"/>
    </w:rPr>
  </w:style>
  <w:style w:type="paragraph" w:styleId="a5">
    <w:name w:val="annotation text"/>
    <w:basedOn w:val="a"/>
    <w:link w:val="Char"/>
    <w:uiPriority w:val="99"/>
    <w:semiHidden/>
    <w:unhideWhenUsed/>
    <w:rsid w:val="003C0897"/>
    <w:pPr>
      <w:jc w:val="left"/>
    </w:pPr>
  </w:style>
  <w:style w:type="character" w:customStyle="1" w:styleId="Char">
    <w:name w:val="批注文字 Char"/>
    <w:basedOn w:val="a0"/>
    <w:link w:val="a5"/>
    <w:uiPriority w:val="99"/>
    <w:semiHidden/>
    <w:rsid w:val="003C0897"/>
    <w:rPr>
      <w:rFonts w:ascii="Calibri" w:eastAsia="仿宋" w:hAnsi="Calibri" w:cs="Times New Roman"/>
      <w:sz w:val="32"/>
    </w:rPr>
  </w:style>
  <w:style w:type="paragraph" w:styleId="a6">
    <w:name w:val="annotation subject"/>
    <w:basedOn w:val="a5"/>
    <w:next w:val="a5"/>
    <w:link w:val="Char0"/>
    <w:uiPriority w:val="99"/>
    <w:semiHidden/>
    <w:unhideWhenUsed/>
    <w:rsid w:val="003C0897"/>
    <w:rPr>
      <w:b/>
      <w:bCs/>
    </w:rPr>
  </w:style>
  <w:style w:type="character" w:customStyle="1" w:styleId="Char0">
    <w:name w:val="批注主题 Char"/>
    <w:basedOn w:val="Char"/>
    <w:link w:val="a6"/>
    <w:uiPriority w:val="99"/>
    <w:semiHidden/>
    <w:rsid w:val="003C0897"/>
    <w:rPr>
      <w:rFonts w:ascii="Calibri" w:eastAsia="仿宋" w:hAnsi="Calibri" w:cs="Times New Roman"/>
      <w:b/>
      <w:bCs/>
      <w:sz w:val="32"/>
    </w:rPr>
  </w:style>
  <w:style w:type="paragraph" w:styleId="a7">
    <w:name w:val="Balloon Text"/>
    <w:basedOn w:val="a"/>
    <w:link w:val="Char1"/>
    <w:uiPriority w:val="99"/>
    <w:semiHidden/>
    <w:unhideWhenUsed/>
    <w:rsid w:val="003C0897"/>
    <w:rPr>
      <w:sz w:val="18"/>
      <w:szCs w:val="18"/>
    </w:rPr>
  </w:style>
  <w:style w:type="character" w:customStyle="1" w:styleId="Char1">
    <w:name w:val="批注框文本 Char"/>
    <w:basedOn w:val="a0"/>
    <w:link w:val="a7"/>
    <w:uiPriority w:val="99"/>
    <w:semiHidden/>
    <w:rsid w:val="003C0897"/>
    <w:rPr>
      <w:rFonts w:ascii="Calibri" w:eastAsia="仿宋" w:hAnsi="Calibri" w:cs="Times New Roman"/>
      <w:sz w:val="18"/>
      <w:szCs w:val="18"/>
    </w:rPr>
  </w:style>
  <w:style w:type="paragraph" w:styleId="a8">
    <w:name w:val="List Paragraph"/>
    <w:basedOn w:val="a"/>
    <w:uiPriority w:val="34"/>
    <w:qFormat/>
    <w:rsid w:val="004D16A3"/>
    <w:pPr>
      <w:ind w:firstLineChars="200" w:firstLine="420"/>
    </w:pPr>
  </w:style>
  <w:style w:type="paragraph" w:styleId="a9">
    <w:name w:val="header"/>
    <w:basedOn w:val="a"/>
    <w:link w:val="Char2"/>
    <w:uiPriority w:val="99"/>
    <w:unhideWhenUsed/>
    <w:rsid w:val="0092140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921401"/>
    <w:rPr>
      <w:rFonts w:ascii="Calibri" w:eastAsia="仿宋" w:hAnsi="Calibri" w:cs="Times New Roman"/>
      <w:sz w:val="18"/>
      <w:szCs w:val="18"/>
    </w:rPr>
  </w:style>
  <w:style w:type="paragraph" w:styleId="aa">
    <w:name w:val="footer"/>
    <w:basedOn w:val="a"/>
    <w:link w:val="Char3"/>
    <w:uiPriority w:val="99"/>
    <w:unhideWhenUsed/>
    <w:rsid w:val="00921401"/>
    <w:pPr>
      <w:tabs>
        <w:tab w:val="center" w:pos="4153"/>
        <w:tab w:val="right" w:pos="8306"/>
      </w:tabs>
      <w:snapToGrid w:val="0"/>
      <w:jc w:val="left"/>
    </w:pPr>
    <w:rPr>
      <w:sz w:val="18"/>
      <w:szCs w:val="18"/>
    </w:rPr>
  </w:style>
  <w:style w:type="character" w:customStyle="1" w:styleId="Char3">
    <w:name w:val="页脚 Char"/>
    <w:basedOn w:val="a0"/>
    <w:link w:val="aa"/>
    <w:uiPriority w:val="99"/>
    <w:rsid w:val="00921401"/>
    <w:rPr>
      <w:rFonts w:ascii="Calibri" w:eastAsia="仿宋" w:hAnsi="Calibri" w:cs="Times New Roman"/>
      <w:sz w:val="18"/>
      <w:szCs w:val="18"/>
    </w:rPr>
  </w:style>
  <w:style w:type="table" w:styleId="ab">
    <w:name w:val="Table Grid"/>
    <w:basedOn w:val="a1"/>
    <w:uiPriority w:val="39"/>
    <w:rsid w:val="00BD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D52644"/>
  </w:style>
  <w:style w:type="character" w:customStyle="1" w:styleId="1Char">
    <w:name w:val="标题 1 Char"/>
    <w:basedOn w:val="a0"/>
    <w:link w:val="1"/>
    <w:uiPriority w:val="9"/>
    <w:rsid w:val="00716C0D"/>
    <w:rPr>
      <w:rFonts w:ascii="Calibri" w:eastAsia="仿宋"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Sheet1!$B$5</c:f>
              <c:strCache>
                <c:ptCount val="1"/>
                <c:pt idx="0">
                  <c:v>占比</c:v>
                </c:pt>
              </c:strCache>
            </c:strRef>
          </c:tx>
          <c:dLbls>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Sheet1!$C$2:$E$3</c:f>
              <c:strCache>
                <c:ptCount val="3"/>
                <c:pt idx="0">
                  <c:v>8名以下</c:v>
                </c:pt>
                <c:pt idx="1">
                  <c:v>8-15名</c:v>
                </c:pt>
                <c:pt idx="2">
                  <c:v>15名以上</c:v>
                </c:pt>
              </c:strCache>
            </c:strRef>
          </c:cat>
          <c:val>
            <c:numRef>
              <c:f>Sheet1!$C$5:$E$5</c:f>
              <c:numCache>
                <c:formatCode>0.00%</c:formatCode>
                <c:ptCount val="3"/>
                <c:pt idx="0" formatCode="0%">
                  <c:v>0.3</c:v>
                </c:pt>
                <c:pt idx="1">
                  <c:v>0.63300000000000001</c:v>
                </c:pt>
                <c:pt idx="2">
                  <c:v>6.7000000000000004E-2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72751241347813833"/>
          <c:y val="0.3012672562334261"/>
          <c:w val="0.23207282141974128"/>
          <c:h val="0.40403925194813661"/>
        </c:manualLayout>
      </c:layout>
      <c:overlay val="0"/>
      <c:txPr>
        <a:bodyPr/>
        <a:lstStyle/>
        <a:p>
          <a:pPr>
            <a:defRPr>
              <a:latin typeface="仿宋" pitchFamily="49" charset="-122"/>
              <a:ea typeface="仿宋" pitchFamily="49" charset="-122"/>
            </a:defRPr>
          </a:pPr>
          <a:endParaRPr lang="zh-CN"/>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Sheet1!$B$24</c:f>
              <c:strCache>
                <c:ptCount val="1"/>
                <c:pt idx="0">
                  <c:v>占比</c:v>
                </c:pt>
              </c:strCache>
            </c:strRef>
          </c:tx>
          <c:dLbls>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Sheet1!$C$22:$G$22</c:f>
              <c:strCache>
                <c:ptCount val="5"/>
                <c:pt idx="0">
                  <c:v>0收入</c:v>
                </c:pt>
                <c:pt idx="1">
                  <c:v>100万元以下</c:v>
                </c:pt>
                <c:pt idx="2">
                  <c:v>100-500万元</c:v>
                </c:pt>
                <c:pt idx="3">
                  <c:v>500-1000万元</c:v>
                </c:pt>
                <c:pt idx="4">
                  <c:v>1000万元以上</c:v>
                </c:pt>
              </c:strCache>
            </c:strRef>
          </c:cat>
          <c:val>
            <c:numRef>
              <c:f>Sheet1!$C$24:$G$24</c:f>
              <c:numCache>
                <c:formatCode>0%</c:formatCode>
                <c:ptCount val="5"/>
                <c:pt idx="0">
                  <c:v>0.1</c:v>
                </c:pt>
                <c:pt idx="1">
                  <c:v>0.2</c:v>
                </c:pt>
                <c:pt idx="2">
                  <c:v>0.3</c:v>
                </c:pt>
                <c:pt idx="3" formatCode="0.00%">
                  <c:v>0.13300000000000001</c:v>
                </c:pt>
                <c:pt idx="4" formatCode="0.00%">
                  <c:v>0.26700000000000002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71479915514244186"/>
          <c:y val="0.2804552400197059"/>
          <c:w val="0.26701314407333626"/>
          <c:h val="0.45504170806856992"/>
        </c:manualLayout>
      </c:layout>
      <c:overlay val="0"/>
      <c:txPr>
        <a:bodyPr/>
        <a:lstStyle/>
        <a:p>
          <a:pPr>
            <a:defRPr>
              <a:latin typeface="仿宋" pitchFamily="49" charset="-122"/>
              <a:ea typeface="仿宋" pitchFamily="49" charset="-122"/>
              <a:cs typeface="Times New Roman" pitchFamily="18" charset="0"/>
            </a:defRPr>
          </a:pPr>
          <a:endParaRPr lang="zh-CN"/>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1"/>
          <c:order val="0"/>
          <c:tx>
            <c:strRef>
              <c:f>Sheet1!$B$50</c:f>
              <c:strCache>
                <c:ptCount val="1"/>
                <c:pt idx="0">
                  <c:v>占比</c:v>
                </c:pt>
              </c:strCache>
            </c:strRef>
          </c:tx>
          <c:dLbls>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Sheet1!$C$48:$E$48</c:f>
              <c:strCache>
                <c:ptCount val="3"/>
                <c:pt idx="0">
                  <c:v>单项资产</c:v>
                </c:pt>
                <c:pt idx="1">
                  <c:v>企业价值</c:v>
                </c:pt>
                <c:pt idx="2">
                  <c:v>无形资产</c:v>
                </c:pt>
              </c:strCache>
            </c:strRef>
          </c:cat>
          <c:val>
            <c:numRef>
              <c:f>Sheet1!$C$50:$E$50</c:f>
              <c:numCache>
                <c:formatCode>0.00%</c:formatCode>
                <c:ptCount val="3"/>
                <c:pt idx="0">
                  <c:v>0.57779999999999998</c:v>
                </c:pt>
                <c:pt idx="1">
                  <c:v>0.27779999999999999</c:v>
                </c:pt>
                <c:pt idx="2">
                  <c:v>0.1444</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8171563372023103"/>
          <c:y val="0.30536252284545762"/>
          <c:w val="0.28057633583320657"/>
          <c:h val="0.35827166705825358"/>
        </c:manualLayout>
      </c:layout>
      <c:overlay val="0"/>
      <c:txPr>
        <a:bodyPr/>
        <a:lstStyle/>
        <a:p>
          <a:pPr>
            <a:defRPr>
              <a:latin typeface="仿宋" pitchFamily="49" charset="-122"/>
              <a:ea typeface="仿宋" pitchFamily="49" charset="-122"/>
            </a:defRPr>
          </a:pPr>
          <a:endParaRPr lang="zh-CN"/>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Sheet1!$B$65</c:f>
              <c:strCache>
                <c:ptCount val="1"/>
                <c:pt idx="0">
                  <c:v>不存在问题数量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Sheet1!$C$64:$E$64</c:f>
              <c:strCache>
                <c:ptCount val="3"/>
                <c:pt idx="0">
                  <c:v>单项资产</c:v>
                </c:pt>
                <c:pt idx="1">
                  <c:v>企业价值</c:v>
                </c:pt>
                <c:pt idx="2">
                  <c:v>无形资产</c:v>
                </c:pt>
              </c:strCache>
            </c:strRef>
          </c:cat>
          <c:val>
            <c:numRef>
              <c:f>Sheet1!$C$65:$E$65</c:f>
              <c:numCache>
                <c:formatCode>General</c:formatCode>
                <c:ptCount val="3"/>
                <c:pt idx="0">
                  <c:v>7</c:v>
                </c:pt>
                <c:pt idx="1">
                  <c:v>88</c:v>
                </c:pt>
                <c:pt idx="2">
                  <c:v>15</c:v>
                </c:pt>
              </c:numCache>
            </c:numRef>
          </c:val>
        </c:ser>
        <c:ser>
          <c:idx val="1"/>
          <c:order val="1"/>
          <c:tx>
            <c:strRef>
              <c:f>Sheet1!$B$66</c:f>
              <c:strCache>
                <c:ptCount val="1"/>
                <c:pt idx="0">
                  <c:v>存在问题数量</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Sheet1!$C$64:$E$64</c:f>
              <c:strCache>
                <c:ptCount val="3"/>
                <c:pt idx="0">
                  <c:v>单项资产</c:v>
                </c:pt>
                <c:pt idx="1">
                  <c:v>企业价值</c:v>
                </c:pt>
                <c:pt idx="2">
                  <c:v>无形资产</c:v>
                </c:pt>
              </c:strCache>
            </c:strRef>
          </c:cat>
          <c:val>
            <c:numRef>
              <c:f>Sheet1!$C$66:$E$66</c:f>
              <c:numCache>
                <c:formatCode>General</c:formatCode>
                <c:ptCount val="3"/>
                <c:pt idx="0">
                  <c:v>63</c:v>
                </c:pt>
                <c:pt idx="1">
                  <c:v>59</c:v>
                </c:pt>
                <c:pt idx="2">
                  <c:v>72</c:v>
                </c:pt>
              </c:numCache>
            </c:numRef>
          </c:val>
        </c:ser>
        <c:dLbls>
          <c:showLegendKey val="0"/>
          <c:showVal val="0"/>
          <c:showCatName val="0"/>
          <c:showSerName val="0"/>
          <c:showPercent val="0"/>
          <c:showBubbleSize val="0"/>
        </c:dLbls>
        <c:gapWidth val="150"/>
        <c:overlap val="100"/>
        <c:axId val="687202992"/>
        <c:axId val="687203552"/>
      </c:barChart>
      <c:catAx>
        <c:axId val="687202992"/>
        <c:scaling>
          <c:orientation val="minMax"/>
        </c:scaling>
        <c:delete val="0"/>
        <c:axPos val="b"/>
        <c:numFmt formatCode="General" sourceLinked="0"/>
        <c:majorTickMark val="out"/>
        <c:minorTickMark val="none"/>
        <c:tickLblPos val="nextTo"/>
        <c:crossAx val="687203552"/>
        <c:crosses val="autoZero"/>
        <c:auto val="1"/>
        <c:lblAlgn val="ctr"/>
        <c:lblOffset val="100"/>
        <c:noMultiLvlLbl val="0"/>
      </c:catAx>
      <c:valAx>
        <c:axId val="687203552"/>
        <c:scaling>
          <c:orientation val="minMax"/>
          <c:max val="150"/>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zh-CN"/>
          </a:p>
        </c:txPr>
        <c:crossAx val="687202992"/>
        <c:crosses val="autoZero"/>
        <c:crossBetween val="between"/>
        <c:majorUnit val="50"/>
      </c:valAx>
    </c:plotArea>
    <c:legend>
      <c:legendPos val="r"/>
      <c:overlay val="0"/>
    </c:legend>
    <c:plotVisOnly val="1"/>
    <c:dispBlanksAs val="gap"/>
    <c:showDLblsOverMax val="0"/>
  </c:chart>
  <c:spPr>
    <a:ln>
      <a:noFill/>
    </a:ln>
  </c:spPr>
  <c:txPr>
    <a:bodyPr/>
    <a:lstStyle/>
    <a:p>
      <a:pPr>
        <a:defRPr>
          <a:latin typeface="仿宋" pitchFamily="49" charset="-122"/>
          <a:ea typeface="仿宋" pitchFamily="49" charset="-122"/>
        </a:defRPr>
      </a:pPr>
      <a:endParaRPr lang="zh-CN"/>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Sheet7!$A$2</c:f>
              <c:strCache>
                <c:ptCount val="1"/>
                <c:pt idx="0">
                  <c:v>单项资产</c:v>
                </c:pt>
              </c:strCache>
            </c:strRef>
          </c:tx>
          <c:spPr>
            <a:ln w="28575" cap="rnd">
              <a:noFill/>
              <a:round/>
            </a:ln>
            <a:effectLst/>
          </c:spPr>
          <c:marker>
            <c:symbol val="circle"/>
            <c:size val="5"/>
            <c:spPr>
              <a:solidFill>
                <a:schemeClr val="accent1"/>
              </a:solidFill>
              <a:ln w="9525">
                <a:solidFill>
                  <a:schemeClr val="accent1"/>
                </a:solidFill>
              </a:ln>
              <a:effectLst/>
            </c:spPr>
          </c:marker>
          <c:xVal>
            <c:numRef>
              <c:f>Sheet7!$B$1:$DE$1</c:f>
              <c:numCache>
                <c:formatCode>General</c:formatCode>
                <c:ptCount val="10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numCache>
            </c:numRef>
          </c:xVal>
          <c:yVal>
            <c:numRef>
              <c:f>Sheet7!$B$2:$DE$2</c:f>
              <c:numCache>
                <c:formatCode>General</c:formatCode>
                <c:ptCount val="108"/>
                <c:pt idx="0">
                  <c:v>10</c:v>
                </c:pt>
                <c:pt idx="1">
                  <c:v>7</c:v>
                </c:pt>
                <c:pt idx="2">
                  <c:v>6</c:v>
                </c:pt>
                <c:pt idx="3">
                  <c:v>4</c:v>
                </c:pt>
                <c:pt idx="4">
                  <c:v>0</c:v>
                </c:pt>
                <c:pt idx="5">
                  <c:v>20</c:v>
                </c:pt>
                <c:pt idx="6">
                  <c:v>7</c:v>
                </c:pt>
                <c:pt idx="7">
                  <c:v>0</c:v>
                </c:pt>
                <c:pt idx="8">
                  <c:v>5</c:v>
                </c:pt>
                <c:pt idx="9">
                  <c:v>10</c:v>
                </c:pt>
                <c:pt idx="10">
                  <c:v>13</c:v>
                </c:pt>
                <c:pt idx="11">
                  <c:v>0</c:v>
                </c:pt>
                <c:pt idx="12">
                  <c:v>4</c:v>
                </c:pt>
                <c:pt idx="13">
                  <c:v>0</c:v>
                </c:pt>
                <c:pt idx="14">
                  <c:v>0</c:v>
                </c:pt>
                <c:pt idx="15">
                  <c:v>0</c:v>
                </c:pt>
                <c:pt idx="16">
                  <c:v>2</c:v>
                </c:pt>
                <c:pt idx="17">
                  <c:v>0</c:v>
                </c:pt>
                <c:pt idx="18">
                  <c:v>0</c:v>
                </c:pt>
                <c:pt idx="19">
                  <c:v>0</c:v>
                </c:pt>
                <c:pt idx="20">
                  <c:v>2</c:v>
                </c:pt>
                <c:pt idx="21">
                  <c:v>0</c:v>
                </c:pt>
                <c:pt idx="22">
                  <c:v>0</c:v>
                </c:pt>
                <c:pt idx="23">
                  <c:v>4</c:v>
                </c:pt>
                <c:pt idx="24">
                  <c:v>21</c:v>
                </c:pt>
                <c:pt idx="25">
                  <c:v>10</c:v>
                </c:pt>
                <c:pt idx="26">
                  <c:v>0</c:v>
                </c:pt>
                <c:pt idx="27">
                  <c:v>0</c:v>
                </c:pt>
                <c:pt idx="28">
                  <c:v>2</c:v>
                </c:pt>
                <c:pt idx="29">
                  <c:v>0</c:v>
                </c:pt>
                <c:pt idx="30">
                  <c:v>0</c:v>
                </c:pt>
                <c:pt idx="31">
                  <c:v>0</c:v>
                </c:pt>
                <c:pt idx="32">
                  <c:v>0</c:v>
                </c:pt>
                <c:pt idx="33">
                  <c:v>3</c:v>
                </c:pt>
                <c:pt idx="34">
                  <c:v>0</c:v>
                </c:pt>
                <c:pt idx="35">
                  <c:v>0</c:v>
                </c:pt>
                <c:pt idx="36">
                  <c:v>0</c:v>
                </c:pt>
                <c:pt idx="37">
                  <c:v>2</c:v>
                </c:pt>
                <c:pt idx="38">
                  <c:v>3</c:v>
                </c:pt>
                <c:pt idx="39">
                  <c:v>0</c:v>
                </c:pt>
                <c:pt idx="40">
                  <c:v>0</c:v>
                </c:pt>
                <c:pt idx="41">
                  <c:v>3</c:v>
                </c:pt>
                <c:pt idx="42">
                  <c:v>1</c:v>
                </c:pt>
                <c:pt idx="43">
                  <c:v>2</c:v>
                </c:pt>
                <c:pt idx="44">
                  <c:v>4</c:v>
                </c:pt>
                <c:pt idx="45">
                  <c:v>6</c:v>
                </c:pt>
                <c:pt idx="46">
                  <c:v>0</c:v>
                </c:pt>
                <c:pt idx="47">
                  <c:v>0</c:v>
                </c:pt>
                <c:pt idx="48">
                  <c:v>0</c:v>
                </c:pt>
                <c:pt idx="49">
                  <c:v>0</c:v>
                </c:pt>
                <c:pt idx="50">
                  <c:v>11</c:v>
                </c:pt>
                <c:pt idx="51">
                  <c:v>0</c:v>
                </c:pt>
                <c:pt idx="52">
                  <c:v>0</c:v>
                </c:pt>
                <c:pt idx="53">
                  <c:v>0</c:v>
                </c:pt>
                <c:pt idx="54">
                  <c:v>0</c:v>
                </c:pt>
                <c:pt idx="55">
                  <c:v>0</c:v>
                </c:pt>
                <c:pt idx="56">
                  <c:v>0</c:v>
                </c:pt>
                <c:pt idx="57">
                  <c:v>0</c:v>
                </c:pt>
                <c:pt idx="58">
                  <c:v>3</c:v>
                </c:pt>
                <c:pt idx="59">
                  <c:v>16</c:v>
                </c:pt>
                <c:pt idx="60">
                  <c:v>5</c:v>
                </c:pt>
                <c:pt idx="61">
                  <c:v>3</c:v>
                </c:pt>
                <c:pt idx="62">
                  <c:v>5</c:v>
                </c:pt>
                <c:pt idx="63">
                  <c:v>17</c:v>
                </c:pt>
                <c:pt idx="64">
                  <c:v>7</c:v>
                </c:pt>
                <c:pt idx="65">
                  <c:v>1</c:v>
                </c:pt>
                <c:pt idx="66">
                  <c:v>6</c:v>
                </c:pt>
                <c:pt idx="67">
                  <c:v>19</c:v>
                </c:pt>
                <c:pt idx="68">
                  <c:v>8</c:v>
                </c:pt>
                <c:pt idx="69">
                  <c:v>1</c:v>
                </c:pt>
                <c:pt idx="70">
                  <c:v>21</c:v>
                </c:pt>
                <c:pt idx="71">
                  <c:v>14</c:v>
                </c:pt>
                <c:pt idx="72">
                  <c:v>6</c:v>
                </c:pt>
                <c:pt idx="73">
                  <c:v>19</c:v>
                </c:pt>
                <c:pt idx="74">
                  <c:v>0</c:v>
                </c:pt>
                <c:pt idx="75">
                  <c:v>0</c:v>
                </c:pt>
                <c:pt idx="76">
                  <c:v>0</c:v>
                </c:pt>
                <c:pt idx="77">
                  <c:v>0</c:v>
                </c:pt>
                <c:pt idx="78">
                  <c:v>2</c:v>
                </c:pt>
                <c:pt idx="79">
                  <c:v>0</c:v>
                </c:pt>
                <c:pt idx="80">
                  <c:v>0</c:v>
                </c:pt>
                <c:pt idx="81">
                  <c:v>6</c:v>
                </c:pt>
                <c:pt idx="82">
                  <c:v>0</c:v>
                </c:pt>
                <c:pt idx="83">
                  <c:v>0</c:v>
                </c:pt>
                <c:pt idx="84">
                  <c:v>0</c:v>
                </c:pt>
                <c:pt idx="85">
                  <c:v>2</c:v>
                </c:pt>
                <c:pt idx="86">
                  <c:v>1</c:v>
                </c:pt>
                <c:pt idx="87">
                  <c:v>0</c:v>
                </c:pt>
                <c:pt idx="88">
                  <c:v>0</c:v>
                </c:pt>
                <c:pt idx="89">
                  <c:v>0</c:v>
                </c:pt>
                <c:pt idx="90">
                  <c:v>1</c:v>
                </c:pt>
                <c:pt idx="91">
                  <c:v>6</c:v>
                </c:pt>
                <c:pt idx="92">
                  <c:v>0</c:v>
                </c:pt>
                <c:pt idx="93">
                  <c:v>3</c:v>
                </c:pt>
                <c:pt idx="94">
                  <c:v>8</c:v>
                </c:pt>
                <c:pt idx="95">
                  <c:v>5</c:v>
                </c:pt>
                <c:pt idx="96">
                  <c:v>6</c:v>
                </c:pt>
                <c:pt idx="97">
                  <c:v>6</c:v>
                </c:pt>
                <c:pt idx="98">
                  <c:v>6</c:v>
                </c:pt>
                <c:pt idx="99">
                  <c:v>4</c:v>
                </c:pt>
                <c:pt idx="100">
                  <c:v>4</c:v>
                </c:pt>
                <c:pt idx="101">
                  <c:v>0</c:v>
                </c:pt>
                <c:pt idx="102">
                  <c:v>3</c:v>
                </c:pt>
                <c:pt idx="103">
                  <c:v>0</c:v>
                </c:pt>
                <c:pt idx="104">
                  <c:v>0</c:v>
                </c:pt>
                <c:pt idx="105">
                  <c:v>13</c:v>
                </c:pt>
                <c:pt idx="106">
                  <c:v>4</c:v>
                </c:pt>
                <c:pt idx="107">
                  <c:v>0</c:v>
                </c:pt>
              </c:numCache>
            </c:numRef>
          </c:yVal>
          <c:smooth val="0"/>
          <c:extLst xmlns:c16r2="http://schemas.microsoft.com/office/drawing/2015/06/chart">
            <c:ext xmlns:c16="http://schemas.microsoft.com/office/drawing/2014/chart" uri="{C3380CC4-5D6E-409C-BE32-E72D297353CC}">
              <c16:uniqueId val="{00000000-046D-47A5-8630-B8A0A0BD1DF5}"/>
            </c:ext>
          </c:extLst>
        </c:ser>
        <c:ser>
          <c:idx val="1"/>
          <c:order val="1"/>
          <c:tx>
            <c:strRef>
              <c:f>Sheet7!$A$3</c:f>
              <c:strCache>
                <c:ptCount val="1"/>
                <c:pt idx="0">
                  <c:v>企业价值</c:v>
                </c:pt>
              </c:strCache>
            </c:strRef>
          </c:tx>
          <c:spPr>
            <a:ln w="28575" cap="rnd">
              <a:noFill/>
              <a:round/>
            </a:ln>
            <a:effectLst/>
          </c:spPr>
          <c:marker>
            <c:symbol val="circle"/>
            <c:size val="5"/>
            <c:spPr>
              <a:solidFill>
                <a:schemeClr val="accent2"/>
              </a:solidFill>
              <a:ln w="9525">
                <a:solidFill>
                  <a:schemeClr val="accent2"/>
                </a:solidFill>
              </a:ln>
              <a:effectLst/>
            </c:spPr>
          </c:marker>
          <c:xVal>
            <c:numRef>
              <c:f>Sheet7!$B$1:$DE$1</c:f>
              <c:numCache>
                <c:formatCode>General</c:formatCode>
                <c:ptCount val="10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numCache>
            </c:numRef>
          </c:xVal>
          <c:yVal>
            <c:numRef>
              <c:f>Sheet7!$B$3:$DE$3</c:f>
              <c:numCache>
                <c:formatCode>General</c:formatCode>
                <c:ptCount val="108"/>
                <c:pt idx="0">
                  <c:v>9</c:v>
                </c:pt>
                <c:pt idx="1">
                  <c:v>11</c:v>
                </c:pt>
                <c:pt idx="2">
                  <c:v>7</c:v>
                </c:pt>
                <c:pt idx="3">
                  <c:v>5</c:v>
                </c:pt>
                <c:pt idx="4">
                  <c:v>3</c:v>
                </c:pt>
                <c:pt idx="5">
                  <c:v>6</c:v>
                </c:pt>
                <c:pt idx="6">
                  <c:v>5</c:v>
                </c:pt>
                <c:pt idx="7">
                  <c:v>2</c:v>
                </c:pt>
                <c:pt idx="8">
                  <c:v>1</c:v>
                </c:pt>
                <c:pt idx="9">
                  <c:v>5</c:v>
                </c:pt>
                <c:pt idx="10">
                  <c:v>10</c:v>
                </c:pt>
                <c:pt idx="11">
                  <c:v>2</c:v>
                </c:pt>
                <c:pt idx="12">
                  <c:v>1</c:v>
                </c:pt>
                <c:pt idx="13">
                  <c:v>2</c:v>
                </c:pt>
                <c:pt idx="14">
                  <c:v>2</c:v>
                </c:pt>
                <c:pt idx="15">
                  <c:v>1</c:v>
                </c:pt>
                <c:pt idx="16">
                  <c:v>1</c:v>
                </c:pt>
                <c:pt idx="17">
                  <c:v>0</c:v>
                </c:pt>
                <c:pt idx="18">
                  <c:v>0</c:v>
                </c:pt>
                <c:pt idx="19">
                  <c:v>5</c:v>
                </c:pt>
                <c:pt idx="20">
                  <c:v>3</c:v>
                </c:pt>
                <c:pt idx="21">
                  <c:v>0</c:v>
                </c:pt>
                <c:pt idx="22">
                  <c:v>0</c:v>
                </c:pt>
                <c:pt idx="23">
                  <c:v>0</c:v>
                </c:pt>
                <c:pt idx="24">
                  <c:v>6</c:v>
                </c:pt>
                <c:pt idx="25">
                  <c:v>4</c:v>
                </c:pt>
                <c:pt idx="26">
                  <c:v>1</c:v>
                </c:pt>
                <c:pt idx="27">
                  <c:v>2</c:v>
                </c:pt>
                <c:pt idx="28">
                  <c:v>2</c:v>
                </c:pt>
                <c:pt idx="29">
                  <c:v>3</c:v>
                </c:pt>
                <c:pt idx="30">
                  <c:v>2</c:v>
                </c:pt>
                <c:pt idx="31">
                  <c:v>3</c:v>
                </c:pt>
                <c:pt idx="32">
                  <c:v>2</c:v>
                </c:pt>
                <c:pt idx="33">
                  <c:v>4</c:v>
                </c:pt>
                <c:pt idx="34">
                  <c:v>1</c:v>
                </c:pt>
                <c:pt idx="35">
                  <c:v>2</c:v>
                </c:pt>
                <c:pt idx="36">
                  <c:v>2</c:v>
                </c:pt>
                <c:pt idx="37">
                  <c:v>0</c:v>
                </c:pt>
                <c:pt idx="38">
                  <c:v>1</c:v>
                </c:pt>
                <c:pt idx="39">
                  <c:v>4</c:v>
                </c:pt>
                <c:pt idx="40">
                  <c:v>0</c:v>
                </c:pt>
                <c:pt idx="41">
                  <c:v>0</c:v>
                </c:pt>
                <c:pt idx="42">
                  <c:v>0</c:v>
                </c:pt>
                <c:pt idx="43">
                  <c:v>0</c:v>
                </c:pt>
                <c:pt idx="44">
                  <c:v>0</c:v>
                </c:pt>
                <c:pt idx="45">
                  <c:v>0</c:v>
                </c:pt>
                <c:pt idx="46">
                  <c:v>1</c:v>
                </c:pt>
                <c:pt idx="47">
                  <c:v>1</c:v>
                </c:pt>
                <c:pt idx="48">
                  <c:v>1</c:v>
                </c:pt>
                <c:pt idx="49">
                  <c:v>1</c:v>
                </c:pt>
                <c:pt idx="50">
                  <c:v>5</c:v>
                </c:pt>
                <c:pt idx="51">
                  <c:v>1</c:v>
                </c:pt>
                <c:pt idx="52">
                  <c:v>2</c:v>
                </c:pt>
                <c:pt idx="53">
                  <c:v>4</c:v>
                </c:pt>
                <c:pt idx="54">
                  <c:v>4</c:v>
                </c:pt>
                <c:pt idx="55">
                  <c:v>1</c:v>
                </c:pt>
                <c:pt idx="56">
                  <c:v>1</c:v>
                </c:pt>
                <c:pt idx="57">
                  <c:v>1</c:v>
                </c:pt>
                <c:pt idx="58">
                  <c:v>7</c:v>
                </c:pt>
                <c:pt idx="59">
                  <c:v>12</c:v>
                </c:pt>
                <c:pt idx="60">
                  <c:v>4</c:v>
                </c:pt>
                <c:pt idx="61">
                  <c:v>5</c:v>
                </c:pt>
                <c:pt idx="62">
                  <c:v>2</c:v>
                </c:pt>
                <c:pt idx="63">
                  <c:v>6</c:v>
                </c:pt>
                <c:pt idx="64">
                  <c:v>2</c:v>
                </c:pt>
                <c:pt idx="65">
                  <c:v>1</c:v>
                </c:pt>
                <c:pt idx="66">
                  <c:v>2</c:v>
                </c:pt>
                <c:pt idx="67">
                  <c:v>6</c:v>
                </c:pt>
                <c:pt idx="68">
                  <c:v>3</c:v>
                </c:pt>
                <c:pt idx="69">
                  <c:v>1</c:v>
                </c:pt>
                <c:pt idx="70">
                  <c:v>11</c:v>
                </c:pt>
                <c:pt idx="71">
                  <c:v>7</c:v>
                </c:pt>
                <c:pt idx="72">
                  <c:v>0</c:v>
                </c:pt>
                <c:pt idx="73">
                  <c:v>7</c:v>
                </c:pt>
                <c:pt idx="74">
                  <c:v>1</c:v>
                </c:pt>
                <c:pt idx="75">
                  <c:v>1</c:v>
                </c:pt>
                <c:pt idx="76">
                  <c:v>1</c:v>
                </c:pt>
                <c:pt idx="77">
                  <c:v>1</c:v>
                </c:pt>
                <c:pt idx="78">
                  <c:v>0</c:v>
                </c:pt>
                <c:pt idx="79">
                  <c:v>4</c:v>
                </c:pt>
                <c:pt idx="80">
                  <c:v>2</c:v>
                </c:pt>
                <c:pt idx="81">
                  <c:v>2</c:v>
                </c:pt>
                <c:pt idx="82">
                  <c:v>0</c:v>
                </c:pt>
                <c:pt idx="83">
                  <c:v>1</c:v>
                </c:pt>
                <c:pt idx="84">
                  <c:v>1</c:v>
                </c:pt>
                <c:pt idx="85">
                  <c:v>4</c:v>
                </c:pt>
                <c:pt idx="86">
                  <c:v>3</c:v>
                </c:pt>
                <c:pt idx="87">
                  <c:v>1</c:v>
                </c:pt>
                <c:pt idx="88">
                  <c:v>1</c:v>
                </c:pt>
                <c:pt idx="89">
                  <c:v>2</c:v>
                </c:pt>
                <c:pt idx="90">
                  <c:v>0</c:v>
                </c:pt>
                <c:pt idx="91">
                  <c:v>0</c:v>
                </c:pt>
                <c:pt idx="92">
                  <c:v>0</c:v>
                </c:pt>
                <c:pt idx="93">
                  <c:v>5</c:v>
                </c:pt>
                <c:pt idx="94">
                  <c:v>4</c:v>
                </c:pt>
                <c:pt idx="95">
                  <c:v>1</c:v>
                </c:pt>
                <c:pt idx="96">
                  <c:v>5</c:v>
                </c:pt>
                <c:pt idx="97">
                  <c:v>2</c:v>
                </c:pt>
                <c:pt idx="98">
                  <c:v>0</c:v>
                </c:pt>
                <c:pt idx="99">
                  <c:v>0</c:v>
                </c:pt>
                <c:pt idx="100">
                  <c:v>0</c:v>
                </c:pt>
                <c:pt idx="101">
                  <c:v>3</c:v>
                </c:pt>
                <c:pt idx="102">
                  <c:v>3</c:v>
                </c:pt>
                <c:pt idx="103">
                  <c:v>1</c:v>
                </c:pt>
                <c:pt idx="104">
                  <c:v>0</c:v>
                </c:pt>
                <c:pt idx="105">
                  <c:v>4</c:v>
                </c:pt>
                <c:pt idx="106">
                  <c:v>1</c:v>
                </c:pt>
                <c:pt idx="107">
                  <c:v>1</c:v>
                </c:pt>
              </c:numCache>
            </c:numRef>
          </c:yVal>
          <c:smooth val="0"/>
          <c:extLst xmlns:c16r2="http://schemas.microsoft.com/office/drawing/2015/06/chart">
            <c:ext xmlns:c16="http://schemas.microsoft.com/office/drawing/2014/chart" uri="{C3380CC4-5D6E-409C-BE32-E72D297353CC}">
              <c16:uniqueId val="{00000001-046D-47A5-8630-B8A0A0BD1DF5}"/>
            </c:ext>
          </c:extLst>
        </c:ser>
        <c:ser>
          <c:idx val="2"/>
          <c:order val="2"/>
          <c:tx>
            <c:strRef>
              <c:f>Sheet7!$A$4</c:f>
              <c:strCache>
                <c:ptCount val="1"/>
                <c:pt idx="0">
                  <c:v>无形资产</c:v>
                </c:pt>
              </c:strCache>
            </c:strRef>
          </c:tx>
          <c:spPr>
            <a:ln w="28575" cap="rnd">
              <a:noFill/>
              <a:round/>
            </a:ln>
            <a:effectLst/>
          </c:spPr>
          <c:marker>
            <c:symbol val="circle"/>
            <c:size val="5"/>
            <c:spPr>
              <a:solidFill>
                <a:schemeClr val="accent3"/>
              </a:solidFill>
              <a:ln w="9525">
                <a:solidFill>
                  <a:schemeClr val="accent3"/>
                </a:solidFill>
              </a:ln>
              <a:effectLst/>
            </c:spPr>
          </c:marker>
          <c:xVal>
            <c:numRef>
              <c:f>Sheet7!$B$1:$DE$1</c:f>
              <c:numCache>
                <c:formatCode>General</c:formatCode>
                <c:ptCount val="10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numCache>
            </c:numRef>
          </c:xVal>
          <c:yVal>
            <c:numRef>
              <c:f>Sheet7!$B$4:$DE$4</c:f>
              <c:numCache>
                <c:formatCode>General</c:formatCode>
                <c:ptCount val="108"/>
                <c:pt idx="0">
                  <c:v>6</c:v>
                </c:pt>
                <c:pt idx="1">
                  <c:v>6</c:v>
                </c:pt>
                <c:pt idx="2">
                  <c:v>7</c:v>
                </c:pt>
                <c:pt idx="3">
                  <c:v>5</c:v>
                </c:pt>
                <c:pt idx="4">
                  <c:v>0</c:v>
                </c:pt>
                <c:pt idx="5">
                  <c:v>5</c:v>
                </c:pt>
                <c:pt idx="6">
                  <c:v>5</c:v>
                </c:pt>
                <c:pt idx="7">
                  <c:v>1</c:v>
                </c:pt>
                <c:pt idx="8">
                  <c:v>0</c:v>
                </c:pt>
                <c:pt idx="9">
                  <c:v>6</c:v>
                </c:pt>
                <c:pt idx="10">
                  <c:v>0</c:v>
                </c:pt>
                <c:pt idx="11">
                  <c:v>3</c:v>
                </c:pt>
                <c:pt idx="12">
                  <c:v>0</c:v>
                </c:pt>
                <c:pt idx="13">
                  <c:v>11</c:v>
                </c:pt>
                <c:pt idx="14">
                  <c:v>3</c:v>
                </c:pt>
                <c:pt idx="15">
                  <c:v>0</c:v>
                </c:pt>
                <c:pt idx="16">
                  <c:v>6</c:v>
                </c:pt>
                <c:pt idx="17">
                  <c:v>0</c:v>
                </c:pt>
                <c:pt idx="18">
                  <c:v>0</c:v>
                </c:pt>
                <c:pt idx="19">
                  <c:v>3</c:v>
                </c:pt>
                <c:pt idx="20">
                  <c:v>4</c:v>
                </c:pt>
                <c:pt idx="21">
                  <c:v>0</c:v>
                </c:pt>
                <c:pt idx="22">
                  <c:v>0</c:v>
                </c:pt>
                <c:pt idx="23">
                  <c:v>1</c:v>
                </c:pt>
                <c:pt idx="24">
                  <c:v>9</c:v>
                </c:pt>
                <c:pt idx="25">
                  <c:v>2</c:v>
                </c:pt>
                <c:pt idx="26">
                  <c:v>0</c:v>
                </c:pt>
                <c:pt idx="27">
                  <c:v>0</c:v>
                </c:pt>
                <c:pt idx="28">
                  <c:v>4</c:v>
                </c:pt>
                <c:pt idx="29">
                  <c:v>0</c:v>
                </c:pt>
                <c:pt idx="30">
                  <c:v>0</c:v>
                </c:pt>
                <c:pt idx="31">
                  <c:v>0</c:v>
                </c:pt>
                <c:pt idx="32">
                  <c:v>0</c:v>
                </c:pt>
                <c:pt idx="33">
                  <c:v>5</c:v>
                </c:pt>
                <c:pt idx="34">
                  <c:v>0</c:v>
                </c:pt>
                <c:pt idx="35">
                  <c:v>0</c:v>
                </c:pt>
                <c:pt idx="36">
                  <c:v>0</c:v>
                </c:pt>
                <c:pt idx="37">
                  <c:v>0</c:v>
                </c:pt>
                <c:pt idx="38">
                  <c:v>2</c:v>
                </c:pt>
                <c:pt idx="39">
                  <c:v>0</c:v>
                </c:pt>
                <c:pt idx="40">
                  <c:v>3</c:v>
                </c:pt>
                <c:pt idx="41">
                  <c:v>0</c:v>
                </c:pt>
                <c:pt idx="42">
                  <c:v>1</c:v>
                </c:pt>
                <c:pt idx="43">
                  <c:v>1</c:v>
                </c:pt>
                <c:pt idx="44">
                  <c:v>1</c:v>
                </c:pt>
                <c:pt idx="45">
                  <c:v>0</c:v>
                </c:pt>
                <c:pt idx="46">
                  <c:v>0</c:v>
                </c:pt>
                <c:pt idx="47">
                  <c:v>0</c:v>
                </c:pt>
                <c:pt idx="48">
                  <c:v>0</c:v>
                </c:pt>
                <c:pt idx="49">
                  <c:v>0</c:v>
                </c:pt>
                <c:pt idx="50">
                  <c:v>0</c:v>
                </c:pt>
                <c:pt idx="51">
                  <c:v>0</c:v>
                </c:pt>
                <c:pt idx="52">
                  <c:v>3</c:v>
                </c:pt>
                <c:pt idx="53">
                  <c:v>0</c:v>
                </c:pt>
                <c:pt idx="54">
                  <c:v>0</c:v>
                </c:pt>
                <c:pt idx="55">
                  <c:v>0</c:v>
                </c:pt>
                <c:pt idx="56">
                  <c:v>0</c:v>
                </c:pt>
                <c:pt idx="57">
                  <c:v>0</c:v>
                </c:pt>
                <c:pt idx="58">
                  <c:v>4</c:v>
                </c:pt>
                <c:pt idx="59">
                  <c:v>6</c:v>
                </c:pt>
                <c:pt idx="60">
                  <c:v>6</c:v>
                </c:pt>
                <c:pt idx="61">
                  <c:v>1</c:v>
                </c:pt>
                <c:pt idx="62">
                  <c:v>2</c:v>
                </c:pt>
                <c:pt idx="63">
                  <c:v>3</c:v>
                </c:pt>
                <c:pt idx="64">
                  <c:v>2</c:v>
                </c:pt>
                <c:pt idx="65">
                  <c:v>3</c:v>
                </c:pt>
                <c:pt idx="66">
                  <c:v>0</c:v>
                </c:pt>
                <c:pt idx="67">
                  <c:v>5</c:v>
                </c:pt>
                <c:pt idx="68">
                  <c:v>2</c:v>
                </c:pt>
                <c:pt idx="69">
                  <c:v>1</c:v>
                </c:pt>
                <c:pt idx="70">
                  <c:v>6</c:v>
                </c:pt>
                <c:pt idx="71">
                  <c:v>5</c:v>
                </c:pt>
                <c:pt idx="72">
                  <c:v>1</c:v>
                </c:pt>
                <c:pt idx="73">
                  <c:v>5</c:v>
                </c:pt>
                <c:pt idx="74">
                  <c:v>0</c:v>
                </c:pt>
                <c:pt idx="75">
                  <c:v>0</c:v>
                </c:pt>
                <c:pt idx="76">
                  <c:v>0</c:v>
                </c:pt>
                <c:pt idx="77">
                  <c:v>0</c:v>
                </c:pt>
                <c:pt idx="78">
                  <c:v>4</c:v>
                </c:pt>
                <c:pt idx="79">
                  <c:v>0</c:v>
                </c:pt>
                <c:pt idx="80">
                  <c:v>0</c:v>
                </c:pt>
                <c:pt idx="81">
                  <c:v>0</c:v>
                </c:pt>
                <c:pt idx="82">
                  <c:v>2</c:v>
                </c:pt>
                <c:pt idx="83">
                  <c:v>0</c:v>
                </c:pt>
                <c:pt idx="84">
                  <c:v>1</c:v>
                </c:pt>
                <c:pt idx="85">
                  <c:v>6</c:v>
                </c:pt>
                <c:pt idx="86">
                  <c:v>5</c:v>
                </c:pt>
                <c:pt idx="87">
                  <c:v>0</c:v>
                </c:pt>
                <c:pt idx="88">
                  <c:v>0</c:v>
                </c:pt>
                <c:pt idx="89">
                  <c:v>0</c:v>
                </c:pt>
                <c:pt idx="90">
                  <c:v>0</c:v>
                </c:pt>
                <c:pt idx="91">
                  <c:v>1</c:v>
                </c:pt>
                <c:pt idx="92">
                  <c:v>2</c:v>
                </c:pt>
                <c:pt idx="93">
                  <c:v>3</c:v>
                </c:pt>
                <c:pt idx="94">
                  <c:v>1</c:v>
                </c:pt>
                <c:pt idx="95">
                  <c:v>1</c:v>
                </c:pt>
                <c:pt idx="96">
                  <c:v>1</c:v>
                </c:pt>
                <c:pt idx="97">
                  <c:v>0</c:v>
                </c:pt>
                <c:pt idx="98">
                  <c:v>1</c:v>
                </c:pt>
                <c:pt idx="99">
                  <c:v>1</c:v>
                </c:pt>
                <c:pt idx="100">
                  <c:v>1</c:v>
                </c:pt>
                <c:pt idx="101">
                  <c:v>0</c:v>
                </c:pt>
                <c:pt idx="102">
                  <c:v>2</c:v>
                </c:pt>
                <c:pt idx="103">
                  <c:v>0</c:v>
                </c:pt>
                <c:pt idx="104">
                  <c:v>1</c:v>
                </c:pt>
                <c:pt idx="105">
                  <c:v>18</c:v>
                </c:pt>
                <c:pt idx="106">
                  <c:v>4</c:v>
                </c:pt>
                <c:pt idx="107">
                  <c:v>0</c:v>
                </c:pt>
              </c:numCache>
            </c:numRef>
          </c:yVal>
          <c:smooth val="0"/>
          <c:extLst xmlns:c16r2="http://schemas.microsoft.com/office/drawing/2015/06/chart">
            <c:ext xmlns:c16="http://schemas.microsoft.com/office/drawing/2014/chart" uri="{C3380CC4-5D6E-409C-BE32-E72D297353CC}">
              <c16:uniqueId val="{00000002-046D-47A5-8630-B8A0A0BD1DF5}"/>
            </c:ext>
          </c:extLst>
        </c:ser>
        <c:dLbls>
          <c:showLegendKey val="0"/>
          <c:showVal val="0"/>
          <c:showCatName val="0"/>
          <c:showSerName val="0"/>
          <c:showPercent val="0"/>
          <c:showBubbleSize val="0"/>
        </c:dLbls>
        <c:axId val="687206912"/>
        <c:axId val="687207472"/>
      </c:scatterChart>
      <c:valAx>
        <c:axId val="687206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7207472"/>
        <c:crosses val="autoZero"/>
        <c:crossBetween val="midCat"/>
      </c:valAx>
      <c:valAx>
        <c:axId val="68720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72069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0.09015</cdr:x>
      <cdr:y>0</cdr:y>
    </cdr:from>
    <cdr:to>
      <cdr:x>0.26645</cdr:x>
      <cdr:y>0.08382</cdr:y>
    </cdr:to>
    <cdr:sp macro="" textlink="">
      <cdr:nvSpPr>
        <cdr:cNvPr id="2" name="TextBox 1"/>
        <cdr:cNvSpPr txBox="1"/>
      </cdr:nvSpPr>
      <cdr:spPr>
        <a:xfrm xmlns:a="http://schemas.openxmlformats.org/drawingml/2006/main">
          <a:off x="410781" y="0"/>
          <a:ext cx="803357" cy="2319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a:latin typeface="仿宋" pitchFamily="49" charset="-122"/>
              <a:ea typeface="仿宋" pitchFamily="49" charset="-122"/>
            </a:rPr>
            <a:t>单位：项</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66ED-0043-4B7A-8CEE-5A8EEF39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叶蓁</dc:creator>
  <cp:keywords/>
  <dc:description/>
  <cp:lastModifiedBy>王昊</cp:lastModifiedBy>
  <cp:revision>417</cp:revision>
  <cp:lastPrinted>2021-03-26T02:52:00Z</cp:lastPrinted>
  <dcterms:created xsi:type="dcterms:W3CDTF">2020-10-10T05:12:00Z</dcterms:created>
  <dcterms:modified xsi:type="dcterms:W3CDTF">2021-03-30T06:46:00Z</dcterms:modified>
</cp:coreProperties>
</file>